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Calibri" w:cs="Calibri" w:eastAsia="Calibri" w:hAnsi="Calibri"/>
          <w:b/>
          <w:bCs/>
          <w:color w:val="555555"/>
          <w:sz w:val="24"/>
          <w:szCs w:val="24"/>
        </w:rPr>
        <w:t xml:space="preserve">ROYAL UNIVERSITY OF PHNOM PENH</w:t>
      </w:r>
    </w:p>
    <w:p>
      <w:pPr>
        <w:spacing w:after="40"/>
        <w:jc w:val="center"/>
      </w:pPr>
      <w:r>
        <w:rPr>
          <w:rFonts w:ascii="Calibri" w:cs="Calibri" w:eastAsia="Calibri" w:hAnsi="Calibri"/>
          <w:color w:val="555555"/>
          <w:sz w:val="22"/>
          <w:szCs w:val="22"/>
        </w:rPr>
        <w:t xml:space="preserve">Faculty of Engineering — Department of Computer Science</w:t>
      </w:r>
    </w:p>
    <w:p>
      <w:pPr>
        <w:spacing w:after="700"/>
        <w:jc w:val="center"/>
      </w:pPr>
      <w:r>
        <w:rPr>
          <w:rFonts w:ascii="Calibri" w:cs="Calibri" w:eastAsia="Calibri" w:hAnsi="Calibri"/>
          <w:color w:val="555555"/>
          <w:sz w:val="22"/>
          <w:szCs w:val="22"/>
        </w:rPr>
        <w:t xml:space="preserve">Master of Science in Computer Science</w:t>
      </w:r>
    </w:p>
    <w:p>
      <w:pPr>
        <w:spacing w:after="120"/>
        <w:jc w:val="center"/>
      </w:pPr>
      <w:r>
        <w:rPr>
          <w:rFonts w:ascii="Calibri" w:cs="Calibri" w:eastAsia="Calibri" w:hAnsi="Calibri"/>
          <w:b/>
          <w:bCs/>
          <w:color w:val="1F5C41"/>
          <w:spacing w:val="40"/>
          <w:sz w:val="28"/>
          <w:szCs w:val="28"/>
        </w:rPr>
        <w:t xml:space="preserve">THESIS PROPOSAL</w:t>
      </w:r>
    </w:p>
    <w:p>
      <w:pPr>
        <w:pBdr>
          <w:bottom w:val="single" w:color="1F5C41" w:sz="6" w:space="6"/>
        </w:pBdr>
        <w:spacing w:after="360"/>
        <w:jc w:val="center"/>
      </w:pPr>
      <w:r>
        <w:rPr>
          <w:rFonts w:ascii="Calibri" w:cs="Calibri" w:eastAsia="Calibri" w:hAnsi="Calibri"/>
          <w:sz w:val="2"/>
          <w:szCs w:val="2"/>
        </w:rPr>
        <w:t xml:space="preserve"/>
      </w:r>
    </w:p>
    <w:p>
      <w:pPr>
        <w:spacing w:after="200"/>
        <w:jc w:val="center"/>
      </w:pPr>
      <w:r>
        <w:rPr>
          <w:rFonts w:ascii="Calibri" w:cs="Calibri" w:eastAsia="Calibri" w:hAnsi="Calibri"/>
          <w:b/>
          <w:bCs/>
          <w:color w:val="222222"/>
          <w:sz w:val="32"/>
          <w:szCs w:val="32"/>
        </w:rPr>
        <w:t xml:space="preserve">SWIR-Attention DeepLabV3+: A Customized Architecture for Multiclass Land Cover Semantic Segmentation in Cambodian Smallholder Landscapes</w:t>
      </w:r>
    </w:p>
    <w:p>
      <w:pPr>
        <w:spacing w:after="900" w:before="200"/>
        <w:jc w:val="center"/>
      </w:pPr>
      <w:r>
        <w:rPr>
          <w:rFonts w:ascii="Calibri" w:cs="Calibri" w:eastAsia="Calibri" w:hAnsi="Calibri"/>
          <w:i/>
          <w:iCs/>
          <w:color w:val="555555"/>
          <w:sz w:val="22"/>
          <w:szCs w:val="22"/>
        </w:rPr>
        <w:t xml:space="preserve">A customized model with attention and boundary-aware loss, benchmarked against U-Net, SegFormer, and standard DeepLabV3+ using Sentinel-2 imagery</w:t>
      </w:r>
    </w:p>
    <w:p>
      <w:pPr>
        <w:spacing w:after="60"/>
        <w:jc w:val="center"/>
      </w:pPr>
      <w:r>
        <w:rPr>
          <w:rFonts w:ascii="Calibri" w:cs="Calibri" w:eastAsia="Calibri" w:hAnsi="Calibri"/>
          <w:color w:val="555555"/>
          <w:sz w:val="22"/>
          <w:szCs w:val="22"/>
        </w:rPr>
        <w:t xml:space="preserve">Submitted by:  </w:t>
      </w:r>
      <w:r>
        <w:rPr>
          <w:rFonts w:ascii="Calibri" w:cs="Calibri" w:eastAsia="Calibri" w:hAnsi="Calibri"/>
          <w:b/>
          <w:bCs/>
          <w:color w:val="222222"/>
          <w:sz w:val="22"/>
          <w:szCs w:val="22"/>
        </w:rPr>
        <w:t xml:space="preserve">[Your Full Name]</w:t>
      </w:r>
    </w:p>
    <w:p>
      <w:pPr>
        <w:spacing w:after="60"/>
        <w:jc w:val="center"/>
      </w:pPr>
      <w:r>
        <w:rPr>
          <w:rFonts w:ascii="Calibri" w:cs="Calibri" w:eastAsia="Calibri" w:hAnsi="Calibri"/>
          <w:color w:val="555555"/>
          <w:sz w:val="22"/>
          <w:szCs w:val="22"/>
        </w:rPr>
        <w:t xml:space="preserve">Student ID:  </w:t>
      </w:r>
      <w:r>
        <w:rPr>
          <w:rFonts w:ascii="Calibri" w:cs="Calibri" w:eastAsia="Calibri" w:hAnsi="Calibri"/>
          <w:color w:val="222222"/>
          <w:sz w:val="22"/>
          <w:szCs w:val="22"/>
        </w:rPr>
        <w:t xml:space="preserve">[Student ID]</w:t>
      </w:r>
    </w:p>
    <w:p>
      <w:pPr>
        <w:spacing w:after="60"/>
        <w:jc w:val="center"/>
      </w:pPr>
      <w:r>
        <w:rPr>
          <w:rFonts w:ascii="Calibri" w:cs="Calibri" w:eastAsia="Calibri" w:hAnsi="Calibri"/>
          <w:color w:val="555555"/>
          <w:sz w:val="22"/>
          <w:szCs w:val="22"/>
        </w:rPr>
        <w:t xml:space="preserve">Supervisor:  </w:t>
      </w:r>
      <w:r>
        <w:rPr>
          <w:rFonts w:ascii="Calibri" w:cs="Calibri" w:eastAsia="Calibri" w:hAnsi="Calibri"/>
          <w:color w:val="222222"/>
          <w:sz w:val="22"/>
          <w:szCs w:val="22"/>
        </w:rPr>
        <w:t xml:space="preserve">[Supervisor Name]</w:t>
      </w:r>
    </w:p>
    <w:p>
      <w:pPr>
        <w:spacing w:after="60"/>
        <w:jc w:val="center"/>
      </w:pPr>
      <w:r>
        <w:rPr>
          <w:rFonts w:ascii="Calibri" w:cs="Calibri" w:eastAsia="Calibri" w:hAnsi="Calibri"/>
          <w:color w:val="555555"/>
          <w:sz w:val="22"/>
          <w:szCs w:val="22"/>
        </w:rPr>
        <w:t xml:space="preserve">Academic Year:  </w:t>
      </w:r>
      <w:r>
        <w:rPr>
          <w:rFonts w:ascii="Calibri" w:cs="Calibri" w:eastAsia="Calibri" w:hAnsi="Calibri"/>
          <w:color w:val="222222"/>
          <w:sz w:val="22"/>
          <w:szCs w:val="22"/>
        </w:rPr>
        <w:t xml:space="preserve">2025–2026  (Year II, Semester II)</w:t>
      </w:r>
    </w:p>
    <w:p>
      <w:pPr>
        <w:spacing w:before="900"/>
        <w:jc w:val="center"/>
      </w:pPr>
      <w:r>
        <w:rPr>
          <w:rFonts w:ascii="Calibri" w:cs="Calibri" w:eastAsia="Calibri" w:hAnsi="Calibri"/>
          <w:color w:val="555555"/>
          <w:sz w:val="20"/>
          <w:szCs w:val="20"/>
        </w:rPr>
        <w:t xml:space="preserve">Phnom Penh, Cambodia</w:t>
      </w:r>
    </w:p>
    <w:p>
      <w:r>
        <w:br w:type="page"/>
      </w:r>
    </w:p>
    <w:p>
      <w:pPr>
        <w:sectPr>
          <w:pgSz w:w="11906" w:h="16838" w:orient="portrait"/>
          <w:pgMar w:top="1440" w:right="1440" w:bottom="1440" w:left="1440" w:header="708" w:footer="708" w:gutter="0"/>
          <w:pgNumType/>
          <w:docGrid w:linePitch="360"/>
        </w:sectPr>
      </w:pPr>
    </w:p>
    <w:p>
      <w:pPr>
        <w:pStyle w:val="Heading1"/>
        <w:spacing w:after="140" w:before="320"/>
      </w:pPr>
      <w:r>
        <w:rPr>
          <w:rFonts w:ascii="Calibri" w:cs="Calibri" w:eastAsia="Calibri" w:hAnsi="Calibri"/>
          <w:b/>
          <w:bCs/>
          <w:color w:val="1F5C41"/>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5C41"/>
          <w:sz w:val="30"/>
          <w:szCs w:val="30"/>
        </w:rPr>
        <w:t xml:space="preserve">1.  Introduction and Background</w:t>
      </w:r>
    </w:p>
    <w:p>
      <w:pPr>
        <w:spacing w:after="160" w:line="300"/>
        <w:jc w:val="both"/>
      </w:pPr>
      <w:r>
        <w:rPr>
          <w:rFonts w:ascii="Calibri" w:cs="Calibri" w:eastAsia="Calibri" w:hAnsi="Calibri"/>
          <w:color w:val="222222"/>
          <w:sz w:val="22"/>
          <w:szCs w:val="22"/>
        </w:rPr>
        <w:t xml:space="preserve">Semantic segmentation is a computer vision task in which every pixel in an image is assigned a class label. Applied to satellite imagery, it produces land cover maps in which each 10-metre ground cell is classified as water, forest, cropland, built-up area, or another category. Such maps are foundational inputs for land resource surveying, agricultural monitoring, food security assessment, and environmental policy.</w:t>
      </w:r>
    </w:p>
    <w:p>
      <w:pPr>
        <w:spacing w:after="160" w:line="300"/>
        <w:jc w:val="both"/>
      </w:pPr>
      <w:r>
        <w:rPr>
          <w:rFonts w:ascii="Calibri" w:cs="Calibri" w:eastAsia="Calibri" w:hAnsi="Calibri"/>
          <w:color w:val="222222"/>
          <w:sz w:val="22"/>
          <w:szCs w:val="22"/>
        </w:rPr>
        <w:t xml:space="preserve">Cambodia presents a challenging and under-studied setting for this task. Agriculture employs nearly half of the national workforce, and rice occupies over 80 percent of cultivated land, most of it farmed by smallholders on plots smaller than two hectares. These fragmented, irregular, and seasonally variable parcels differ sharply from the large, regular fields on which most global land cover products are trained. Between 2000 and 2023, Cambodian cropland expanded by roughly 13 percent, encroaching on more than 30,000 square kilometres of forest and other ecological land. Accurate, up-to-date land cover information is therefore of direct national relevance.</w:t>
      </w:r>
    </w:p>
    <w:p>
      <w:pPr>
        <w:spacing w:after="160" w:line="300"/>
        <w:jc w:val="both"/>
      </w:pPr>
      <w:r>
        <w:rPr>
          <w:rFonts w:ascii="Calibri" w:cs="Calibri" w:eastAsia="Calibri" w:hAnsi="Calibri"/>
          <w:color w:val="222222"/>
          <w:sz w:val="22"/>
          <w:szCs w:val="22"/>
        </w:rPr>
        <w:t xml:space="preserve">Global land cover products such as ESA WorldCover, Google Dynamic World, and ESRI Land Cover provide free 10-metre maps, but their accuracy is reported at the global scale — approximately 76.7 percent overall accuracy for WorldCover v200 — and this figure is dominated by large industrial farmland. Independent studies in Sub-Saharan Africa and the Middle East have repeatedly shown that these products lose accuracy over smallholder and heterogeneous landscapes, and that no single global product is consistently best across regions. This motivates locally trained and locally validated segmentation models.</w:t>
      </w:r>
    </w:p>
    <w:p>
      <w:pPr>
        <w:spacing w:after="160" w:line="300"/>
        <w:jc w:val="both"/>
      </w:pPr>
      <w:r>
        <w:rPr>
          <w:rFonts w:ascii="Calibri" w:cs="Calibri" w:eastAsia="Calibri" w:hAnsi="Calibri"/>
          <w:color w:val="222222"/>
          <w:sz w:val="22"/>
          <w:szCs w:val="22"/>
        </w:rPr>
        <w:t xml:space="preserve">The DeepLabV3+ architecture is a strong candidate for this task. It combines atrous (dilated) convolution, which enlarges the network's field of view without losing spatial resolution, with Atrous Spatial Pyramid Pooling (ASPP), which captures objects at multiple scales, and an encoder–decoder structure that refines object boundaries. These properties are well suited to smallholder land cover. However, the standard DeepLabV3+ is designed for general-purpose scenes: its ASPP dilation rates are tuned for large objects, it does not include an explicit attention mechanism to emphasise the most informative spectral channels, and it is trained with a loss that does not specifically reward accurate boundaries. This proposal therefore does not merely apply DeepLabV3+ as-is; it proposes a customized variant, adapted to the specific challenges of Cambodian smallholder landscapes, and evaluates whether these adaptations produce measurably better results than the standard model and other established architectures.</w:t>
      </w:r>
    </w:p>
    <w:p>
      <w:pPr>
        <w:pStyle w:val="Heading1"/>
        <w:spacing w:after="140" w:before="320"/>
      </w:pPr>
      <w:r>
        <w:rPr>
          <w:rFonts w:ascii="Calibri" w:cs="Calibri" w:eastAsia="Calibri" w:hAnsi="Calibri"/>
          <w:b/>
          <w:bCs/>
          <w:color w:val="1F5C41"/>
          <w:sz w:val="30"/>
          <w:szCs w:val="30"/>
        </w:rPr>
        <w:t xml:space="preserve">2.  Problem Statement</w:t>
      </w:r>
    </w:p>
    <w:p>
      <w:pPr>
        <w:spacing w:after="160" w:line="300"/>
        <w:jc w:val="both"/>
      </w:pPr>
      <w:r>
        <w:rPr>
          <w:rFonts w:ascii="Calibri" w:cs="Calibri" w:eastAsia="Calibri" w:hAnsi="Calibri"/>
          <w:color w:val="222222"/>
          <w:sz w:val="22"/>
          <w:szCs w:val="22"/>
        </w:rPr>
        <w:t xml:space="preserve">A recent study by Zhu et al. (2024) produced a 10-metre land cover map of Cambodia for 2020 using a prior-product label-generation framework and a standard U-Net classification model, reporting an overall accuracy of 91.68 percent. While this work established that automated land cover mapping is feasible for Cambodia, it leaves several important questions unanswered:</w:t>
      </w:r>
    </w:p>
    <w:p>
      <w:pPr>
        <w:pStyle w:val="ListParagraph"/>
        <w:numPr>
          <w:ilvl w:val="0"/>
          <w:numId w:val="2"/>
        </w:numPr>
        <w:spacing w:after="90" w:line="290"/>
      </w:pPr>
      <w:r>
        <w:rPr>
          <w:rFonts w:ascii="Calibri" w:cs="Calibri" w:eastAsia="Calibri" w:hAnsi="Calibri"/>
          <w:b/>
          <w:bCs/>
          <w:color w:val="222222"/>
          <w:sz w:val="22"/>
          <w:szCs w:val="22"/>
        </w:rPr>
        <w:t xml:space="preserve">No customized model has been developed. </w:t>
      </w:r>
      <w:r>
        <w:rPr>
          <w:rFonts w:ascii="Calibri" w:cs="Calibri" w:eastAsia="Calibri" w:hAnsi="Calibri"/>
          <w:color w:val="222222"/>
          <w:sz w:val="22"/>
          <w:szCs w:val="22"/>
        </w:rPr>
        <w:t xml:space="preserve"> It used a single, unmodified architecture (U-Net) and did not compare alternative or customized segmentation models. It is therefore unknown whether a model adapted to Cambodia's fragmented parcels could perform better.</w:t>
      </w:r>
    </w:p>
    <w:p>
      <w:pPr>
        <w:pStyle w:val="ListParagraph"/>
        <w:numPr>
          <w:ilvl w:val="0"/>
          <w:numId w:val="2"/>
        </w:numPr>
        <w:spacing w:after="90" w:line="290"/>
      </w:pPr>
      <w:r>
        <w:rPr>
          <w:rFonts w:ascii="Calibri" w:cs="Calibri" w:eastAsia="Calibri" w:hAnsi="Calibri"/>
          <w:b/>
          <w:bCs/>
          <w:color w:val="222222"/>
          <w:sz w:val="22"/>
          <w:szCs w:val="22"/>
        </w:rPr>
        <w:t xml:space="preserve">Evaluation was point-based, not dense. </w:t>
      </w:r>
      <w:r>
        <w:rPr>
          <w:rFonts w:ascii="Calibri" w:cs="Calibri" w:eastAsia="Calibri" w:hAnsi="Calibri"/>
          <w:color w:val="222222"/>
          <w:sz w:val="22"/>
          <w:szCs w:val="22"/>
        </w:rPr>
        <w:t xml:space="preserve"> It reported overall accuracy and the Kappa coefficient, both computed from sparse validation points. These metrics do not measure boundary quality or per-class performance, which are precisely the aspects that matter most in fragmented smallholder landscapes.</w:t>
      </w:r>
    </w:p>
    <w:p>
      <w:pPr>
        <w:pStyle w:val="ListParagraph"/>
        <w:numPr>
          <w:ilvl w:val="0"/>
          <w:numId w:val="2"/>
        </w:numPr>
        <w:spacing w:after="90" w:line="290"/>
      </w:pPr>
      <w:r>
        <w:rPr>
          <w:rFonts w:ascii="Calibri" w:cs="Calibri" w:eastAsia="Calibri" w:hAnsi="Calibri"/>
          <w:b/>
          <w:bCs/>
          <w:color w:val="222222"/>
          <w:sz w:val="22"/>
          <w:szCs w:val="22"/>
        </w:rPr>
        <w:t xml:space="preserve">No dense benchmark dataset exists. </w:t>
      </w:r>
      <w:r>
        <w:rPr>
          <w:rFonts w:ascii="Calibri" w:cs="Calibri" w:eastAsia="Calibri" w:hAnsi="Calibri"/>
          <w:color w:val="222222"/>
          <w:sz w:val="22"/>
          <w:szCs w:val="22"/>
        </w:rPr>
        <w:t xml:space="preserve"> No publicly documented, densely labelled Cambodian land cover benchmark exists for tile-level mean Intersection-over-Union (mIoU) evaluation.</w:t>
      </w:r>
    </w:p>
    <w:p>
      <w:pPr>
        <w:spacing w:after="160" w:line="300"/>
        <w:jc w:val="both"/>
      </w:pPr>
      <w:r>
        <w:rPr>
          <w:rFonts w:ascii="Calibri" w:cs="Calibri" w:eastAsia="Calibri" w:hAnsi="Calibri"/>
          <w:color w:val="222222"/>
          <w:sz w:val="22"/>
          <w:szCs w:val="22"/>
        </w:rPr>
        <w:t xml:space="preserve">This proposal addresses these gaps directly. Rather than only comparing existing models, it proposes a customized architecture — SWIR-Attention DeepLabV3+ — specifically adapted for Cambodian smallholder land cover, and asks whether these adaptations improve accuracy. The central research problem is: can a customized DeepLabV3+, incorporating a channel-and-spatial attention module, dilation rates re-tuned for smallholder-parcel scale, and a boundary-aware loss, achieve measurably better multiclass land cover segmentation than the standard DeepLabV3+ and other established architectures, when evaluated with dense, boundary-sensitive metrics?</w:t>
      </w:r>
    </w:p>
    <w:p>
      <w:pPr>
        <w:pStyle w:val="Heading1"/>
        <w:spacing w:after="140" w:before="320"/>
      </w:pPr>
      <w:r>
        <w:rPr>
          <w:rFonts w:ascii="Calibri" w:cs="Calibri" w:eastAsia="Calibri" w:hAnsi="Calibri"/>
          <w:b/>
          <w:bCs/>
          <w:color w:val="1F5C41"/>
          <w:sz w:val="30"/>
          <w:szCs w:val="30"/>
        </w:rPr>
        <w:t xml:space="preserve">3.  Research Questions and Objectives</w:t>
      </w:r>
    </w:p>
    <w:p>
      <w:pPr>
        <w:pStyle w:val="Heading2"/>
        <w:spacing w:after="100" w:before="220"/>
      </w:pPr>
      <w:r>
        <w:rPr>
          <w:rFonts w:ascii="Calibri" w:cs="Calibri" w:eastAsia="Calibri" w:hAnsi="Calibri"/>
          <w:b/>
          <w:bCs/>
          <w:color w:val="222222"/>
          <w:sz w:val="25"/>
          <w:szCs w:val="25"/>
        </w:rPr>
        <w:t xml:space="preserve">3.1  Research Questions</w:t>
      </w:r>
    </w:p>
    <w:p>
      <w:pPr>
        <w:pStyle w:val="ListParagraph"/>
        <w:numPr>
          <w:ilvl w:val="0"/>
          <w:numId w:val="3"/>
        </w:numPr>
        <w:spacing w:after="90" w:line="290"/>
      </w:pPr>
      <w:r>
        <w:rPr>
          <w:rFonts w:ascii="Calibri" w:cs="Calibri" w:eastAsia="Calibri" w:hAnsi="Calibri"/>
          <w:color w:val="222222"/>
          <w:sz w:val="22"/>
          <w:szCs w:val="22"/>
        </w:rPr>
        <w:t xml:space="preserve"> Does the proposed SWIR-Attention DeepLabV3+ achieve higher mean and per-class Intersection-over-Union than the standard DeepLabV3+, U-Net, and SegFormer over Cambodian smallholder landscapes?</w:t>
      </w:r>
    </w:p>
    <w:p>
      <w:pPr>
        <w:pStyle w:val="ListParagraph"/>
        <w:numPr>
          <w:ilvl w:val="0"/>
          <w:numId w:val="3"/>
        </w:numPr>
        <w:spacing w:after="90" w:line="290"/>
      </w:pPr>
      <w:r>
        <w:rPr>
          <w:rFonts w:ascii="Calibri" w:cs="Calibri" w:eastAsia="Calibri" w:hAnsi="Calibri"/>
          <w:color w:val="222222"/>
          <w:sz w:val="22"/>
          <w:szCs w:val="22"/>
        </w:rPr>
        <w:t xml:space="preserve"> Which of the three proposed modifications (attention module, re-tuned dilation rates, boundary-aware loss) contributes most to any improvement, as measured by an ablation study?</w:t>
      </w:r>
    </w:p>
    <w:p>
      <w:pPr>
        <w:pStyle w:val="ListParagraph"/>
        <w:numPr>
          <w:ilvl w:val="0"/>
          <w:numId w:val="3"/>
        </w:numPr>
        <w:spacing w:after="90" w:line="290"/>
      </w:pPr>
      <w:r>
        <w:rPr>
          <w:rFonts w:ascii="Calibri" w:cs="Calibri" w:eastAsia="Calibri" w:hAnsi="Calibri"/>
          <w:color w:val="222222"/>
          <w:sz w:val="22"/>
          <w:szCs w:val="22"/>
        </w:rPr>
        <w:t xml:space="preserve"> Which land cover classes are most frequently confused, and does the customized model improve the hardest confusion — wet paddy versus open water?</w:t>
      </w:r>
    </w:p>
    <w:p>
      <w:pPr>
        <w:pStyle w:val="ListParagraph"/>
        <w:numPr>
          <w:ilvl w:val="0"/>
          <w:numId w:val="3"/>
        </w:numPr>
        <w:spacing w:after="90" w:line="290"/>
      </w:pPr>
      <w:r>
        <w:rPr>
          <w:rFonts w:ascii="Calibri" w:cs="Calibri" w:eastAsia="Calibri" w:hAnsi="Calibri"/>
          <w:color w:val="222222"/>
          <w:sz w:val="22"/>
          <w:szCs w:val="22"/>
        </w:rPr>
        <w:t xml:space="preserve"> What is the trade-off between the customized model's accuracy gain and its additional computational cost (model size and inference time)?</w:t>
      </w:r>
    </w:p>
    <w:p>
      <w:pPr>
        <w:pStyle w:val="Heading2"/>
        <w:spacing w:after="100" w:before="220"/>
      </w:pPr>
      <w:r>
        <w:rPr>
          <w:rFonts w:ascii="Calibri" w:cs="Calibri" w:eastAsia="Calibri" w:hAnsi="Calibri"/>
          <w:b/>
          <w:bCs/>
          <w:color w:val="222222"/>
          <w:sz w:val="25"/>
          <w:szCs w:val="25"/>
        </w:rPr>
        <w:t xml:space="preserve">3.2  Objectives</w:t>
      </w:r>
    </w:p>
    <w:p>
      <w:pPr>
        <w:pStyle w:val="ListParagraph"/>
        <w:numPr>
          <w:ilvl w:val="0"/>
          <w:numId w:val="4"/>
        </w:numPr>
        <w:spacing w:after="90" w:line="290"/>
      </w:pPr>
      <w:r>
        <w:rPr>
          <w:rFonts w:ascii="Calibri" w:cs="Calibri" w:eastAsia="Calibri" w:hAnsi="Calibri"/>
          <w:b/>
          <w:bCs/>
          <w:color w:val="222222"/>
          <w:sz w:val="22"/>
          <w:szCs w:val="22"/>
        </w:rPr>
        <w:t xml:space="preserve">Objective 1. </w:t>
      </w:r>
      <w:r>
        <w:rPr>
          <w:rFonts w:ascii="Calibri" w:cs="Calibri" w:eastAsia="Calibri" w:hAnsi="Calibri"/>
          <w:color w:val="222222"/>
          <w:sz w:val="22"/>
          <w:szCs w:val="22"/>
        </w:rPr>
        <w:t xml:space="preserve">To construct a multiclass land cover dataset for selected Cambodian provinces from Sentinel-2 imagery, using existing global products as weak labels and a hand-verified test set as ground truth.</w:t>
      </w:r>
    </w:p>
    <w:p>
      <w:pPr>
        <w:pStyle w:val="ListParagraph"/>
        <w:numPr>
          <w:ilvl w:val="0"/>
          <w:numId w:val="4"/>
        </w:numPr>
        <w:spacing w:after="90" w:line="290"/>
      </w:pPr>
      <w:r>
        <w:rPr>
          <w:rFonts w:ascii="Calibri" w:cs="Calibri" w:eastAsia="Calibri" w:hAnsi="Calibri"/>
          <w:b/>
          <w:bCs/>
          <w:color w:val="222222"/>
          <w:sz w:val="22"/>
          <w:szCs w:val="22"/>
        </w:rPr>
        <w:t xml:space="preserve">Objective 2. </w:t>
      </w:r>
      <w:r>
        <w:rPr>
          <w:rFonts w:ascii="Calibri" w:cs="Calibri" w:eastAsia="Calibri" w:hAnsi="Calibri"/>
          <w:color w:val="222222"/>
          <w:sz w:val="22"/>
          <w:szCs w:val="22"/>
        </w:rPr>
        <w:t xml:space="preserve">To design and implement SWIR-Attention DeepLabV3+, a customized architecture adding a channel-and-spatial attention module after the ASPP block, dilation rates re-tuned for smallholder-parcel scale, and a boundary-aware combined loss.</w:t>
      </w:r>
    </w:p>
    <w:p>
      <w:pPr>
        <w:pStyle w:val="ListParagraph"/>
        <w:numPr>
          <w:ilvl w:val="0"/>
          <w:numId w:val="4"/>
        </w:numPr>
        <w:spacing w:after="90" w:line="290"/>
      </w:pPr>
      <w:r>
        <w:rPr>
          <w:rFonts w:ascii="Calibri" w:cs="Calibri" w:eastAsia="Calibri" w:hAnsi="Calibri"/>
          <w:b/>
          <w:bCs/>
          <w:color w:val="222222"/>
          <w:sz w:val="22"/>
          <w:szCs w:val="22"/>
        </w:rPr>
        <w:t xml:space="preserve">Objective 3. </w:t>
      </w:r>
      <w:r>
        <w:rPr>
          <w:rFonts w:ascii="Calibri" w:cs="Calibri" w:eastAsia="Calibri" w:hAnsi="Calibri"/>
          <w:color w:val="222222"/>
          <w:sz w:val="22"/>
          <w:szCs w:val="22"/>
        </w:rPr>
        <w:t xml:space="preserve">To train the customized model alongside three baselines — standard DeepLabV3+, U-Net, and SegFormer — under identical conditions.</w:t>
      </w:r>
    </w:p>
    <w:p>
      <w:pPr>
        <w:pStyle w:val="ListParagraph"/>
        <w:numPr>
          <w:ilvl w:val="0"/>
          <w:numId w:val="4"/>
        </w:numPr>
        <w:spacing w:after="90" w:line="290"/>
      </w:pPr>
      <w:r>
        <w:rPr>
          <w:rFonts w:ascii="Calibri" w:cs="Calibri" w:eastAsia="Calibri" w:hAnsi="Calibri"/>
          <w:b/>
          <w:bCs/>
          <w:color w:val="222222"/>
          <w:sz w:val="22"/>
          <w:szCs w:val="22"/>
        </w:rPr>
        <w:t xml:space="preserve">Objective 4. </w:t>
      </w:r>
      <w:r>
        <w:rPr>
          <w:rFonts w:ascii="Calibri" w:cs="Calibri" w:eastAsia="Calibri" w:hAnsi="Calibri"/>
          <w:color w:val="222222"/>
          <w:sz w:val="22"/>
          <w:szCs w:val="22"/>
        </w:rPr>
        <w:t xml:space="preserve">To evaluate all four models using mean IoU, per-class IoU, boundary F1 score, and computational cost across multiple random seeds, and to conduct an ablation study isolating the effect of each modification.</w:t>
      </w:r>
    </w:p>
    <w:p>
      <w:pPr>
        <w:pStyle w:val="ListParagraph"/>
        <w:numPr>
          <w:ilvl w:val="0"/>
          <w:numId w:val="4"/>
        </w:numPr>
        <w:spacing w:after="90" w:line="290"/>
      </w:pPr>
      <w:r>
        <w:rPr>
          <w:rFonts w:ascii="Calibri" w:cs="Calibri" w:eastAsia="Calibri" w:hAnsi="Calibri"/>
          <w:b/>
          <w:bCs/>
          <w:color w:val="222222"/>
          <w:sz w:val="22"/>
          <w:szCs w:val="22"/>
        </w:rPr>
        <w:t xml:space="preserve">Objective 5. </w:t>
      </w:r>
      <w:r>
        <w:rPr>
          <w:rFonts w:ascii="Calibri" w:cs="Calibri" w:eastAsia="Calibri" w:hAnsi="Calibri"/>
          <w:color w:val="222222"/>
          <w:sz w:val="22"/>
          <w:szCs w:val="22"/>
        </w:rPr>
        <w:t xml:space="preserve">To release a documented, hand-verified Cambodian land cover benchmark dataset for future research.</w:t>
      </w:r>
    </w:p>
    <w:p>
      <w:pPr>
        <w:pStyle w:val="Heading1"/>
        <w:spacing w:after="140" w:before="320"/>
      </w:pPr>
      <w:r>
        <w:rPr>
          <w:rFonts w:ascii="Calibri" w:cs="Calibri" w:eastAsia="Calibri" w:hAnsi="Calibri"/>
          <w:b/>
          <w:bCs/>
          <w:color w:val="1F5C41"/>
          <w:sz w:val="30"/>
          <w:szCs w:val="30"/>
        </w:rPr>
        <w:t xml:space="preserve">4.  Literature Review</w:t>
      </w:r>
    </w:p>
    <w:p>
      <w:pPr>
        <w:pStyle w:val="Heading2"/>
        <w:spacing w:after="100" w:before="220"/>
      </w:pPr>
      <w:r>
        <w:rPr>
          <w:rFonts w:ascii="Calibri" w:cs="Calibri" w:eastAsia="Calibri" w:hAnsi="Calibri"/>
          <w:b/>
          <w:bCs/>
          <w:color w:val="222222"/>
          <w:sz w:val="25"/>
          <w:szCs w:val="25"/>
        </w:rPr>
        <w:t xml:space="preserve">4.1  Semantic Segmentation Architectures</w:t>
      </w:r>
    </w:p>
    <w:p>
      <w:pPr>
        <w:spacing w:after="160" w:line="300"/>
        <w:jc w:val="both"/>
      </w:pPr>
      <w:r>
        <w:rPr>
          <w:rFonts w:ascii="Calibri" w:cs="Calibri" w:eastAsia="Calibri" w:hAnsi="Calibri"/>
          <w:color w:val="222222"/>
          <w:sz w:val="22"/>
          <w:szCs w:val="22"/>
        </w:rPr>
        <w:t xml:space="preserve">DeepLabV3+ (Chen et al., 2018) extended the DeepLab family with an encoder–decoder design, using atrous separable convolution and spatial pyramid pooling to balance multi-scale context with boundary precision. U-Net (Ronneberger et al., 2015), originally developed for biomedical imaging, remains a widely used baseline in remote sensing owing to its symmetric encoder–decoder with skip connections. SegFormer (Xie et al., 2021) introduced a hierarchical transformer encoder with a lightweight decoder, achieving strong accuracy and efficiency and representing the current transformer-based approach. These three form the baselines for this study.</w:t>
      </w:r>
    </w:p>
    <w:p>
      <w:pPr>
        <w:spacing w:after="160" w:line="300"/>
        <w:jc w:val="both"/>
      </w:pPr>
      <w:r>
        <w:rPr>
          <w:rFonts w:ascii="Calibri" w:cs="Calibri" w:eastAsia="Calibri" w:hAnsi="Calibri"/>
          <w:color w:val="222222"/>
          <w:sz w:val="22"/>
          <w:szCs w:val="22"/>
        </w:rPr>
        <w:t xml:space="preserve">The proposed customization draws on two further lines of work. Attention modules such as the Convolutional Block Attention Module (Woo et al., 2018) re-weight feature maps along the channel and spatial dimensions, allowing a network to emphasise the most informative features — a property well suited to distinguishing spectrally similar land cover classes. Boundary-aware and region-based losses, including Dice loss and boundary loss (Kervadec et al., 2019), directly reward accurate object edges and are effective on imbalanced, fragmented segmentation targets. This proposal integrates both ideas into DeepLabV3+ and tests whether they improve Cambodian land cover segmentation.</w:t>
      </w:r>
    </w:p>
    <w:p>
      <w:pPr>
        <w:pStyle w:val="Heading2"/>
        <w:spacing w:after="100" w:before="220"/>
      </w:pPr>
      <w:r>
        <w:rPr>
          <w:rFonts w:ascii="Calibri" w:cs="Calibri" w:eastAsia="Calibri" w:hAnsi="Calibri"/>
          <w:b/>
          <w:bCs/>
          <w:color w:val="222222"/>
          <w:sz w:val="25"/>
          <w:szCs w:val="25"/>
        </w:rPr>
        <w:t xml:space="preserve">4.2  Accuracy of Global Land Cover Products</w:t>
      </w:r>
    </w:p>
    <w:p>
      <w:pPr>
        <w:spacing w:after="160" w:line="300"/>
        <w:jc w:val="both"/>
      </w:pPr>
      <w:r>
        <w:rPr>
          <w:rFonts w:ascii="Calibri" w:cs="Calibri" w:eastAsia="Calibri" w:hAnsi="Calibri"/>
          <w:color w:val="222222"/>
          <w:sz w:val="22"/>
          <w:szCs w:val="22"/>
        </w:rPr>
        <w:t xml:space="preserve">Kerner et al. (2024) assessed existing land cover maps for agriculture across eight Sub-Saharan African countries, mapping pixel-level disagreement between products and demonstrating that no single product is reliably best. Subsequent multi-country work reinforced that global products underperform in smallholder-dominated regions due to landscape heterogeneity, geographically biased training data, and oversimplified class schemes. Local validation studies in Syria (Chaaban et al., 2022) and Turkey found that product accuracy shifts substantially at the local scale, with certain classes such as grassland and shrubland being especially unreliable. These findings collectively justify locally trained models with local validation.</w:t>
      </w:r>
    </w:p>
    <w:p>
      <w:pPr>
        <w:pStyle w:val="Heading2"/>
        <w:spacing w:after="100" w:before="220"/>
      </w:pPr>
      <w:r>
        <w:rPr>
          <w:rFonts w:ascii="Calibri" w:cs="Calibri" w:eastAsia="Calibri" w:hAnsi="Calibri"/>
          <w:b/>
          <w:bCs/>
          <w:color w:val="222222"/>
          <w:sz w:val="25"/>
          <w:szCs w:val="25"/>
        </w:rPr>
        <w:t xml:space="preserve">4.3  Land Cover Mapping in Cambodia</w:t>
      </w:r>
    </w:p>
    <w:p>
      <w:pPr>
        <w:spacing w:after="160" w:line="300"/>
        <w:jc w:val="both"/>
      </w:pPr>
      <w:r>
        <w:rPr>
          <w:rFonts w:ascii="Calibri" w:cs="Calibri" w:eastAsia="Calibri" w:hAnsi="Calibri"/>
          <w:color w:val="222222"/>
          <w:sz w:val="22"/>
          <w:szCs w:val="22"/>
        </w:rPr>
        <w:t xml:space="preserve">Zhu et al. (2024) produced a 10-metre land cover map of Cambodia for 2020 by fusing multiple prior products through Dempster–Shafer evidence theory and correcting label noise with a two-stage training scheme, using a U-Net classifier. Their work is the most direct predecessor to this proposal and provides both a methodological foundation for weak-label generation and a baseline against which the present study is positioned. Separately, Su et al. (2024) quantified Cambodian cropland expansion and its ecological drivers, underscoring the policy relevance of accurate land cover data. The gap this proposal fills is the absence of any architecture comparison or dense IoU-based benchmark for Cambodian land cover.</w:t>
      </w:r>
    </w:p>
    <w:p>
      <w:pPr>
        <w:pStyle w:val="Heading1"/>
        <w:spacing w:after="140" w:before="320"/>
      </w:pPr>
      <w:r>
        <w:rPr>
          <w:rFonts w:ascii="Calibri" w:cs="Calibri" w:eastAsia="Calibri" w:hAnsi="Calibri"/>
          <w:b/>
          <w:bCs/>
          <w:color w:val="1F5C41"/>
          <w:sz w:val="30"/>
          <w:szCs w:val="30"/>
        </w:rPr>
        <w:t xml:space="preserve">5.  Methodology</w:t>
      </w:r>
    </w:p>
    <w:p>
      <w:pPr>
        <w:spacing w:after="160" w:line="300"/>
        <w:jc w:val="both"/>
      </w:pPr>
      <w:r>
        <w:rPr>
          <w:rFonts w:ascii="Calibri" w:cs="Calibri" w:eastAsia="Calibri" w:hAnsi="Calibri"/>
          <w:color w:val="222222"/>
          <w:sz w:val="22"/>
          <w:szCs w:val="22"/>
        </w:rPr>
        <w:t xml:space="preserve">The study follows a five-stage pipeline: study-area selection, data collection, dataset construction, model training, and evaluation. All satellite processing uses Google Earth Engine, and all model development uses Python with a standard deep learning framework (Keras/TensorFlow or PyTorch).</w:t>
      </w:r>
    </w:p>
    <w:p>
      <w:pPr>
        <w:pStyle w:val="Heading2"/>
        <w:spacing w:after="100" w:before="220"/>
      </w:pPr>
      <w:r>
        <w:rPr>
          <w:rFonts w:ascii="Calibri" w:cs="Calibri" w:eastAsia="Calibri" w:hAnsi="Calibri"/>
          <w:b/>
          <w:bCs/>
          <w:color w:val="222222"/>
          <w:sz w:val="25"/>
          <w:szCs w:val="25"/>
        </w:rPr>
        <w:t xml:space="preserve">5.1  Study Area and Class Schema</w:t>
      </w:r>
    </w:p>
    <w:p>
      <w:pPr>
        <w:spacing w:after="160" w:line="300"/>
        <w:jc w:val="both"/>
      </w:pPr>
      <w:r>
        <w:rPr>
          <w:rFonts w:ascii="Calibri" w:cs="Calibri" w:eastAsia="Calibri" w:hAnsi="Calibri"/>
          <w:color w:val="222222"/>
          <w:sz w:val="22"/>
          <w:szCs w:val="22"/>
        </w:rPr>
        <w:t xml:space="preserve">Two to three provinces will be selected to represent Cambodia's dominant land cover types, including the central rice plains and a forested or mixed-use region. A six-class schema will be used: water, forest, cropland, built-up, wetland or grassland, and bare or shrub land. This schema is deliberately aligned with categories available in global products to enable weak labelling and cross-product comparison.</w:t>
      </w:r>
    </w:p>
    <w:p>
      <w:pPr>
        <w:pStyle w:val="Heading2"/>
        <w:spacing w:after="100" w:before="220"/>
      </w:pPr>
      <w:r>
        <w:rPr>
          <w:rFonts w:ascii="Calibri" w:cs="Calibri" w:eastAsia="Calibri" w:hAnsi="Calibri"/>
          <w:b/>
          <w:bCs/>
          <w:color w:val="222222"/>
          <w:sz w:val="25"/>
          <w:szCs w:val="25"/>
        </w:rPr>
        <w:t xml:space="preserve">5.2  Data Collection</w:t>
      </w:r>
    </w:p>
    <w:p>
      <w:pPr>
        <w:spacing w:after="160" w:line="300"/>
        <w:jc w:val="both"/>
      </w:pPr>
      <w:r>
        <w:rPr>
          <w:rFonts w:ascii="Calibri" w:cs="Calibri" w:eastAsia="Calibri" w:hAnsi="Calibri"/>
          <w:color w:val="222222"/>
          <w:sz w:val="22"/>
          <w:szCs w:val="22"/>
        </w:rPr>
        <w:t xml:space="preserve">Sentinel-2 Level-2A surface reflectance imagery will be composited over the dry season (approximately November to March) to minimise cloud cover, using the Cloud Score+ dataset for cloud masking. Six spectral bands will be retained — blue, green, red, near-infrared, and two shortwave-infrared bands. The shortwave-infrared bands are included specifically because they separate wet rice paddy from open water, a confusion known to affect global products in this region. Imagery is exported as GeoTIFF; weak labels are derived from ESA WorldCover and Dynamic World, remapped to the six-class schema and exported on an identical spatial grid.</w:t>
      </w:r>
    </w:p>
    <w:p>
      <w:pPr>
        <w:pStyle w:val="Heading2"/>
        <w:spacing w:after="100" w:before="220"/>
      </w:pPr>
      <w:r>
        <w:rPr>
          <w:rFonts w:ascii="Calibri" w:cs="Calibri" w:eastAsia="Calibri" w:hAnsi="Calibri"/>
          <w:b/>
          <w:bCs/>
          <w:color w:val="222222"/>
          <w:sz w:val="25"/>
          <w:szCs w:val="25"/>
        </w:rPr>
        <w:t xml:space="preserve">5.3  Dataset Construction</w:t>
      </w:r>
    </w:p>
    <w:p>
      <w:pPr>
        <w:spacing w:after="160" w:line="300"/>
        <w:jc w:val="both"/>
      </w:pPr>
      <w:r>
        <w:rPr>
          <w:rFonts w:ascii="Calibri" w:cs="Calibri" w:eastAsia="Calibri" w:hAnsi="Calibri"/>
          <w:color w:val="222222"/>
          <w:sz w:val="22"/>
          <w:szCs w:val="22"/>
        </w:rPr>
        <w:t xml:space="preserve">Exported rasters will be tiled into non-overlapping 512×512-pixel patches. Tiles dominated by no-data pixels are discarded. Approximately 150 test tiles will be hand-corrected against the underlying Sentinel-2 imagery in QGIS or CVAT to serve as high-quality ground truth; the remaining tiles form the weakly labelled training set. To prevent spatial autocorrelation from inflating results, the train, validation, and test sets are separated by geographic block rather than randomly.</w:t>
      </w:r>
    </w:p>
    <w:p>
      <w:pPr>
        <w:pStyle w:val="Heading2"/>
        <w:spacing w:after="100" w:before="220"/>
      </w:pPr>
      <w:r>
        <w:rPr>
          <w:rFonts w:ascii="Calibri" w:cs="Calibri" w:eastAsia="Calibri" w:hAnsi="Calibri"/>
          <w:b/>
          <w:bCs/>
          <w:color w:val="222222"/>
          <w:sz w:val="25"/>
          <w:szCs w:val="25"/>
        </w:rPr>
        <w:t xml:space="preserve">5.4  Proposed Model: SWIR-Attention DeepLabV3+</w:t>
      </w:r>
    </w:p>
    <w:p>
      <w:pPr>
        <w:spacing w:after="160" w:line="300"/>
        <w:jc w:val="both"/>
      </w:pPr>
      <w:r>
        <w:rPr>
          <w:rFonts w:ascii="Calibri" w:cs="Calibri" w:eastAsia="Calibri" w:hAnsi="Calibri"/>
          <w:color w:val="222222"/>
          <w:sz w:val="22"/>
          <w:szCs w:val="22"/>
        </w:rPr>
        <w:t xml:space="preserve">The core contribution is a customized DeepLabV3+ with three modifications, each targeting a specific weakness of the standard model on Cambodian smallholder land cover. First, a Convolutional Block Attention Module (CBAM) is inserted after the ASPP block, allowing the network to emphasise the most informative spectral channels — particularly the shortwave-infrared bands that separate wet paddy from open water — and the most relevant spatial regions. Second, the ASPP dilation rates, which by default are tuned for large objects, are re-tuned to smaller values appropriate to the scale of fragmented smallholder parcels. Third, a boundary-aware combined loss (Dice plus boundary loss) replaces plain cross-entropy, rewarding the model for accurate parcel edges. The standard DeepLabV3+ is retained unchanged as the direct baseline, so that the effect of these modifications can be isolated precisely.</w:t>
      </w:r>
    </w:p>
    <w:p>
      <w:pPr>
        <w:pStyle w:val="Heading2"/>
        <w:spacing w:after="100" w:before="220"/>
      </w:pPr>
      <w:r>
        <w:rPr>
          <w:rFonts w:ascii="Calibri" w:cs="Calibri" w:eastAsia="Calibri" w:hAnsi="Calibri"/>
          <w:b/>
          <w:bCs/>
          <w:color w:val="222222"/>
          <w:sz w:val="25"/>
          <w:szCs w:val="25"/>
        </w:rPr>
        <w:t xml:space="preserve">5.5  Model Training</w:t>
      </w:r>
    </w:p>
    <w:p>
      <w:pPr>
        <w:spacing w:after="160" w:line="300"/>
        <w:jc w:val="both"/>
      </w:pPr>
      <w:r>
        <w:rPr>
          <w:rFonts w:ascii="Calibri" w:cs="Calibri" w:eastAsia="Calibri" w:hAnsi="Calibri"/>
          <w:color w:val="222222"/>
          <w:sz w:val="22"/>
          <w:szCs w:val="22"/>
        </w:rPr>
        <w:t xml:space="preserve">The customized model and three baselines — standard DeepLabV3+, U-Net, and SegFormer — will be trained under identical conditions: the same tiles, augmentation, optimiser, learning-rate schedule, and number of epochs. Backbones pretrained on ImageNet will be used where applicable. Each configuration will be run with at least three random seeds. To isolate the contribution of each modification, an ablation study will train the standard DeepLabV3+ with each modification added individually and then in combination, as summarised in the table below.</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Ablation configuration</w:t>
            </w:r>
          </w:p>
        </w:tc>
        <w:tc>
          <w:tcPr>
            <w:tcW w:type="dxa" w:w="468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isolates</w:t>
            </w:r>
          </w:p>
        </w:tc>
      </w:tr>
      <w:tr>
        <w:tc>
          <w:tcPr>
            <w:tcW w:type="dxa" w:w="468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Standard DeepLabV3+ (baseline)</w:t>
            </w:r>
          </w:p>
        </w:tc>
        <w:tc>
          <w:tcPr>
            <w:tcW w:type="dxa" w:w="468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Reference point — no modifications</w:t>
            </w:r>
          </w:p>
        </w:tc>
      </w:tr>
      <w:tr>
        <w:tc>
          <w:tcPr>
            <w:tcW w:type="dxa" w:w="468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 CBAM attention only</w:t>
            </w:r>
          </w:p>
        </w:tc>
        <w:tc>
          <w:tcPr>
            <w:tcW w:type="dxa" w:w="468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Effect of attention alone</w:t>
            </w:r>
          </w:p>
        </w:tc>
      </w:tr>
      <w:tr>
        <w:tc>
          <w:tcPr>
            <w:tcW w:type="dxa" w:w="468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 Re-tuned dilation rates only</w:t>
            </w:r>
          </w:p>
        </w:tc>
        <w:tc>
          <w:tcPr>
            <w:tcW w:type="dxa" w:w="468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Effect of scale-adapted ASPP alone</w:t>
            </w:r>
          </w:p>
        </w:tc>
      </w:tr>
      <w:tr>
        <w:tc>
          <w:tcPr>
            <w:tcW w:type="dxa" w:w="468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 Boundary-aware loss only</w:t>
            </w:r>
          </w:p>
        </w:tc>
        <w:tc>
          <w:tcPr>
            <w:tcW w:type="dxa" w:w="468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Effect of the loss alone</w:t>
            </w:r>
          </w:p>
        </w:tc>
      </w:tr>
      <w:tr>
        <w:tc>
          <w:tcPr>
            <w:tcW w:type="dxa" w:w="468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All three (full SWIR-Attention model)</w:t>
            </w:r>
          </w:p>
        </w:tc>
        <w:tc>
          <w:tcPr>
            <w:tcW w:type="dxa" w:w="468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Combined effect — the proposed model</w:t>
            </w:r>
          </w:p>
        </w:tc>
      </w:tr>
    </w:tbl>
    <w:p>
      <w:pPr>
        <w:pStyle w:val="Heading2"/>
        <w:spacing w:after="100" w:before="220"/>
      </w:pPr>
      <w:r>
        <w:rPr>
          <w:rFonts w:ascii="Calibri" w:cs="Calibri" w:eastAsia="Calibri" w:hAnsi="Calibri"/>
          <w:b/>
          <w:bCs/>
          <w:color w:val="222222"/>
          <w:sz w:val="25"/>
          <w:szCs w:val="25"/>
        </w:rPr>
        <w:t xml:space="preserve">5.6  Evaluation Metrics</w:t>
      </w:r>
    </w:p>
    <w:p>
      <w:pPr>
        <w:spacing w:after="160" w:line="300"/>
        <w:jc w:val="both"/>
      </w:pPr>
      <w:r>
        <w:rPr>
          <w:rFonts w:ascii="Calibri" w:cs="Calibri" w:eastAsia="Calibri" w:hAnsi="Calibri"/>
          <w:color w:val="222222"/>
          <w:sz w:val="22"/>
          <w:szCs w:val="22"/>
        </w:rPr>
        <w:t xml:space="preserve">All four models are evaluated on the hand-verified test set using: mean Intersection-over-Union (mIoU) as the primary metric; per-class IoU to reveal class-specific strengths and confusions, with particular attention to the wet-paddy-versus-water class pair; boundary F1 score to measure edge quality on fragmented parcels; and computational cost, reported as parameter count and inference latency. Results are reported as mean and standard deviation across seeds. The key comparison — SWIR-Attention DeepLabV3+ against the standard DeepLabV3+ — is assessed for statistical significance, so that any improvement can be attributed to the proposed modifications rather than to random variation.</w:t>
      </w:r>
    </w:p>
    <w:p>
      <w:pPr>
        <w:pStyle w:val="Heading2"/>
        <w:spacing w:after="100" w:before="220"/>
      </w:pPr>
      <w:r>
        <w:rPr>
          <w:rFonts w:ascii="Calibri" w:cs="Calibri" w:eastAsia="Calibri" w:hAnsi="Calibri"/>
          <w:b/>
          <w:bCs/>
          <w:color w:val="222222"/>
          <w:sz w:val="25"/>
          <w:szCs w:val="25"/>
        </w:rPr>
        <w:t xml:space="preserve">5.7  Methodology Summary</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Stage</w:t>
            </w:r>
          </w:p>
        </w:tc>
        <w:tc>
          <w:tcPr>
            <w:tcW w:type="dxa" w:w="676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activities and tools</w:t>
            </w:r>
          </w:p>
        </w:tc>
      </w:tr>
      <w:tr>
        <w:tc>
          <w:tcPr>
            <w:tcW w:type="dxa" w:w="260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Data collection</w:t>
            </w:r>
          </w:p>
        </w:tc>
        <w:tc>
          <w:tcPr>
            <w:tcW w:type="dxa" w:w="676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Sentinel-2 L2A dry-season composite; Cloud Score+ masking; Google Earth Engine export</w:t>
            </w:r>
          </w:p>
        </w:tc>
      </w:tr>
      <w:tr>
        <w:tc>
          <w:tcPr>
            <w:tcW w:type="dxa" w:w="260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Dataset construction</w:t>
            </w:r>
          </w:p>
        </w:tc>
        <w:tc>
          <w:tcPr>
            <w:tcW w:type="dxa" w:w="676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512×512 tiling; weak labels from WorldCover / Dynamic World; ~150 hand-verified test tiles; block split</w:t>
            </w:r>
          </w:p>
        </w:tc>
      </w:tr>
      <w:tr>
        <w:tc>
          <w:tcPr>
            <w:tcW w:type="dxa" w:w="260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Proposed model</w:t>
            </w:r>
          </w:p>
        </w:tc>
        <w:tc>
          <w:tcPr>
            <w:tcW w:type="dxa" w:w="676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SWIR-Attention DeepLabV3+: CBAM after ASPP + re-tuned dilation rates + boundary-aware loss</w:t>
            </w:r>
          </w:p>
        </w:tc>
      </w:tr>
      <w:tr>
        <w:tc>
          <w:tcPr>
            <w:tcW w:type="dxa" w:w="260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Baselines &amp; training</w:t>
            </w:r>
          </w:p>
        </w:tc>
        <w:tc>
          <w:tcPr>
            <w:tcW w:type="dxa" w:w="676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Standard DeepLabV3+, U-Net, SegFormer; identical settings; 3+ seeds; ablation study</w:t>
            </w:r>
          </w:p>
        </w:tc>
      </w:tr>
      <w:tr>
        <w:tc>
          <w:tcPr>
            <w:tcW w:type="dxa" w:w="2600"/>
            <w:shd w:fill="F1EFE8"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Evaluation</w:t>
            </w:r>
          </w:p>
        </w:tc>
        <w:tc>
          <w:tcPr>
            <w:tcW w:type="dxa" w:w="676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mIoU, per-class IoU, boundary F1, model size and latency; significance vs standard DeepLabV3+</w:t>
            </w:r>
          </w:p>
        </w:tc>
      </w:tr>
    </w:tbl>
    <w:p>
      <w:pPr>
        <w:pStyle w:val="Heading1"/>
        <w:spacing w:after="140" w:before="320"/>
      </w:pPr>
      <w:r>
        <w:rPr>
          <w:rFonts w:ascii="Calibri" w:cs="Calibri" w:eastAsia="Calibri" w:hAnsi="Calibri"/>
          <w:b/>
          <w:bCs/>
          <w:color w:val="1F5C41"/>
          <w:sz w:val="30"/>
          <w:szCs w:val="30"/>
        </w:rPr>
        <w:t xml:space="preserve">6.  Expected Outcomes and Contributions</w:t>
      </w:r>
    </w:p>
    <w:p>
      <w:pPr>
        <w:pStyle w:val="ListParagraph"/>
        <w:numPr>
          <w:ilvl w:val="0"/>
          <w:numId w:val="4"/>
        </w:numPr>
        <w:spacing w:after="90" w:line="290"/>
      </w:pPr>
      <w:r>
        <w:rPr>
          <w:rFonts w:ascii="Calibri" w:cs="Calibri" w:eastAsia="Calibri" w:hAnsi="Calibri"/>
          <w:b/>
          <w:bCs/>
          <w:color w:val="222222"/>
          <w:sz w:val="22"/>
          <w:szCs w:val="22"/>
        </w:rPr>
        <w:t xml:space="preserve">Contribution 1. </w:t>
      </w:r>
      <w:r>
        <w:rPr>
          <w:rFonts w:ascii="Calibri" w:cs="Calibri" w:eastAsia="Calibri" w:hAnsi="Calibri"/>
          <w:color w:val="222222"/>
          <w:sz w:val="22"/>
          <w:szCs w:val="22"/>
        </w:rPr>
        <w:t xml:space="preserve">A customized segmentation architecture, SWIR-Attention DeepLabV3+, adapted for Cambodian smallholder land cover, together with evidence of whether its modifications improve accuracy over the standard model.</w:t>
      </w:r>
    </w:p>
    <w:p>
      <w:pPr>
        <w:pStyle w:val="ListParagraph"/>
        <w:numPr>
          <w:ilvl w:val="0"/>
          <w:numId w:val="4"/>
        </w:numPr>
        <w:spacing w:after="90" w:line="290"/>
      </w:pPr>
      <w:r>
        <w:rPr>
          <w:rFonts w:ascii="Calibri" w:cs="Calibri" w:eastAsia="Calibri" w:hAnsi="Calibri"/>
          <w:b/>
          <w:bCs/>
          <w:color w:val="222222"/>
          <w:sz w:val="22"/>
          <w:szCs w:val="22"/>
        </w:rPr>
        <w:t xml:space="preserve">Contribution 2. </w:t>
      </w:r>
      <w:r>
        <w:rPr>
          <w:rFonts w:ascii="Calibri" w:cs="Calibri" w:eastAsia="Calibri" w:hAnsi="Calibri"/>
          <w:color w:val="222222"/>
          <w:sz w:val="22"/>
          <w:szCs w:val="22"/>
        </w:rPr>
        <w:t xml:space="preserve">An ablation study isolating the individual effect of attention, re-tuned dilation rates, and boundary-aware loss — showing which modification matters most.</w:t>
      </w:r>
    </w:p>
    <w:p>
      <w:pPr>
        <w:pStyle w:val="ListParagraph"/>
        <w:numPr>
          <w:ilvl w:val="0"/>
          <w:numId w:val="4"/>
        </w:numPr>
        <w:spacing w:after="90" w:line="290"/>
      </w:pPr>
      <w:r>
        <w:rPr>
          <w:rFonts w:ascii="Calibri" w:cs="Calibri" w:eastAsia="Calibri" w:hAnsi="Calibri"/>
          <w:b/>
          <w:bCs/>
          <w:color w:val="222222"/>
          <w:sz w:val="22"/>
          <w:szCs w:val="22"/>
        </w:rPr>
        <w:t xml:space="preserve">Contribution 3. </w:t>
      </w:r>
      <w:r>
        <w:rPr>
          <w:rFonts w:ascii="Calibri" w:cs="Calibri" w:eastAsia="Calibri" w:hAnsi="Calibri"/>
          <w:color w:val="222222"/>
          <w:sz w:val="22"/>
          <w:szCs w:val="22"/>
        </w:rPr>
        <w:t xml:space="preserve">The first dense, per-class IoU benchmark for Cambodian land cover, comparing the customized model against three established architectures.</w:t>
      </w:r>
    </w:p>
    <w:p>
      <w:pPr>
        <w:pStyle w:val="ListParagraph"/>
        <w:numPr>
          <w:ilvl w:val="0"/>
          <w:numId w:val="4"/>
        </w:numPr>
        <w:spacing w:after="90" w:line="290"/>
      </w:pPr>
      <w:r>
        <w:rPr>
          <w:rFonts w:ascii="Calibri" w:cs="Calibri" w:eastAsia="Calibri" w:hAnsi="Calibri"/>
          <w:b/>
          <w:bCs/>
          <w:color w:val="222222"/>
          <w:sz w:val="22"/>
          <w:szCs w:val="22"/>
        </w:rPr>
        <w:t xml:space="preserve">Contribution 4. </w:t>
      </w:r>
      <w:r>
        <w:rPr>
          <w:rFonts w:ascii="Calibri" w:cs="Calibri" w:eastAsia="Calibri" w:hAnsi="Calibri"/>
          <w:color w:val="222222"/>
          <w:sz w:val="22"/>
          <w:szCs w:val="22"/>
        </w:rPr>
        <w:t xml:space="preserve">A documented, hand-verified Cambodian land cover benchmark dataset, reusable by future researchers.</w:t>
      </w:r>
    </w:p>
    <w:p>
      <w:pPr>
        <w:pStyle w:val="ListParagraph"/>
        <w:numPr>
          <w:ilvl w:val="0"/>
          <w:numId w:val="4"/>
        </w:numPr>
        <w:spacing w:after="90" w:line="290"/>
      </w:pPr>
      <w:r>
        <w:rPr>
          <w:rFonts w:ascii="Calibri" w:cs="Calibri" w:eastAsia="Calibri" w:hAnsi="Calibri"/>
          <w:b/>
          <w:bCs/>
          <w:color w:val="222222"/>
          <w:sz w:val="22"/>
          <w:szCs w:val="22"/>
        </w:rPr>
        <w:t xml:space="preserve">Contribution 5. </w:t>
      </w:r>
      <w:r>
        <w:rPr>
          <w:rFonts w:ascii="Calibri" w:cs="Calibri" w:eastAsia="Calibri" w:hAnsi="Calibri"/>
          <w:color w:val="222222"/>
          <w:sz w:val="22"/>
          <w:szCs w:val="22"/>
        </w:rPr>
        <w:t xml:space="preserve">A reproducible Google Earth Engine and training pipeline that a Cambodian institution could re-run for future years.</w:t>
      </w:r>
    </w:p>
    <w:p>
      <w:pPr>
        <w:spacing w:after="160" w:line="300"/>
        <w:jc w:val="both"/>
      </w:pPr>
      <w:r>
        <w:rPr>
          <w:rFonts w:ascii="Calibri" w:cs="Calibri" w:eastAsia="Calibri" w:hAnsi="Calibri"/>
          <w:color w:val="222222"/>
          <w:sz w:val="22"/>
          <w:szCs w:val="22"/>
        </w:rPr>
        <w:t xml:space="preserve">Should the proposed modifications not improve on the standard DeepLabV3+, this remains a valid and informative result: the four-model comparison and ablation study still constitute a complete contribution, reporting honestly which approaches do and do not help on Cambodian land cover. The primary intended users of these outcomes are institutional: national ministries responsible for agriculture and environment, and international agencies engaged in food-security and land-use monitoring.</w:t>
      </w:r>
    </w:p>
    <w:p>
      <w:pPr>
        <w:pStyle w:val="Heading1"/>
        <w:spacing w:after="140" w:before="320"/>
      </w:pPr>
      <w:r>
        <w:rPr>
          <w:rFonts w:ascii="Calibri" w:cs="Calibri" w:eastAsia="Calibri" w:hAnsi="Calibri"/>
          <w:b/>
          <w:bCs/>
          <w:color w:val="1F5C41"/>
          <w:sz w:val="30"/>
          <w:szCs w:val="30"/>
        </w:rPr>
        <w:t xml:space="preserve">7.  Work Plan and Timeline</w:t>
      </w:r>
    </w:p>
    <w:p>
      <w:pPr>
        <w:spacing w:after="160" w:line="300"/>
        <w:jc w:val="both"/>
      </w:pPr>
      <w:r>
        <w:rPr>
          <w:rFonts w:ascii="Calibri" w:cs="Calibri" w:eastAsia="Calibri" w:hAnsi="Calibri"/>
          <w:color w:val="222222"/>
          <w:sz w:val="22"/>
          <w:szCs w:val="22"/>
        </w:rPr>
        <w:t xml:space="preserve">The project is scoped to fit within a single semester. The plan below assumes the first two months are architecture-independent, which reduces risk: should the topic scope change, early work is not wasted.</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500"/>
        <w:gridCol w:w="5060"/>
        <w:gridCol w:w="2800"/>
      </w:tblGrid>
      <w:tr>
        <w:trPr>
          <w:tblHeader/>
        </w:trPr>
        <w:tc>
          <w:tcPr>
            <w:tcW w:type="dxa" w:w="150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Weeks</w:t>
            </w:r>
          </w:p>
        </w:tc>
        <w:tc>
          <w:tcPr>
            <w:tcW w:type="dxa" w:w="506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Activity</w:t>
            </w:r>
          </w:p>
        </w:tc>
        <w:tc>
          <w:tcPr>
            <w:tcW w:type="dxa" w:w="2800"/>
            <w:shd w:fill="1F5C41"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Deliverable</w:t>
            </w:r>
          </w:p>
        </w:tc>
      </w:tr>
      <w:tr>
        <w:tc>
          <w:tcPr>
            <w:tcW w:type="dxa" w:w="1500"/>
            <w:shd w:fill="F1EFE8" w:color="auto" w:val="clear"/>
            <w:tcMar>
              <w:top w:type="dxa" w:w="80"/>
              <w:left w:type="dxa" w:w="120"/>
              <w:bottom w:type="dxa" w:w="80"/>
              <w:right w:type="dxa" w:w="120"/>
            </w:tcMar>
          </w:tcPr>
          <w:p>
            <w:pPr>
              <w:jc w:val="center"/>
            </w:pPr>
            <w:r>
              <w:rPr>
                <w:rFonts w:ascii="Calibri" w:cs="Calibri" w:eastAsia="Calibri" w:hAnsi="Calibri"/>
                <w:b/>
                <w:bCs/>
                <w:color w:val="222222"/>
                <w:sz w:val="20"/>
                <w:szCs w:val="20"/>
              </w:rPr>
              <w:t xml:space="preserve">1–3</w:t>
            </w:r>
          </w:p>
        </w:tc>
        <w:tc>
          <w:tcPr>
            <w:tcW w:type="dxa" w:w="506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Literature review; finalise class schema; pull Sentinel-2 tiles via GEE</w:t>
            </w:r>
          </w:p>
        </w:tc>
        <w:tc>
          <w:tcPr>
            <w:tcW w:type="dxa" w:w="280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Reviewed literature; raw imagery</w:t>
            </w:r>
          </w:p>
        </w:tc>
      </w:tr>
      <w:tr>
        <w:tc>
          <w:tcPr>
            <w:tcW w:type="dxa" w:w="1500"/>
            <w:shd w:fill="FFFFFF" w:color="auto" w:val="clear"/>
            <w:tcMar>
              <w:top w:type="dxa" w:w="80"/>
              <w:left w:type="dxa" w:w="120"/>
              <w:bottom w:type="dxa" w:w="80"/>
              <w:right w:type="dxa" w:w="120"/>
            </w:tcMar>
          </w:tcPr>
          <w:p>
            <w:pPr>
              <w:jc w:val="center"/>
            </w:pPr>
            <w:r>
              <w:rPr>
                <w:rFonts w:ascii="Calibri" w:cs="Calibri" w:eastAsia="Calibri" w:hAnsi="Calibri"/>
                <w:b/>
                <w:bCs/>
                <w:color w:val="222222"/>
                <w:sz w:val="20"/>
                <w:szCs w:val="20"/>
              </w:rPr>
              <w:t xml:space="preserve">4–6</w:t>
            </w:r>
          </w:p>
        </w:tc>
        <w:tc>
          <w:tcPr>
            <w:tcW w:type="dxa" w:w="506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Build dataset; generate weak labels; hand-correct ~150 test tiles</w:t>
            </w:r>
          </w:p>
        </w:tc>
        <w:tc>
          <w:tcPr>
            <w:tcW w:type="dxa" w:w="280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Labelled dataset</w:t>
            </w:r>
          </w:p>
        </w:tc>
      </w:tr>
      <w:tr>
        <w:tc>
          <w:tcPr>
            <w:tcW w:type="dxa" w:w="1500"/>
            <w:shd w:fill="F1EFE8" w:color="auto" w:val="clear"/>
            <w:tcMar>
              <w:top w:type="dxa" w:w="80"/>
              <w:left w:type="dxa" w:w="120"/>
              <w:bottom w:type="dxa" w:w="80"/>
              <w:right w:type="dxa" w:w="120"/>
            </w:tcMar>
          </w:tcPr>
          <w:p>
            <w:pPr>
              <w:jc w:val="center"/>
            </w:pPr>
            <w:r>
              <w:rPr>
                <w:rFonts w:ascii="Calibri" w:cs="Calibri" w:eastAsia="Calibri" w:hAnsi="Calibri"/>
                <w:b/>
                <w:bCs/>
                <w:color w:val="222222"/>
                <w:sz w:val="20"/>
                <w:szCs w:val="20"/>
              </w:rPr>
              <w:t xml:space="preserve">7–10</w:t>
            </w:r>
          </w:p>
        </w:tc>
        <w:tc>
          <w:tcPr>
            <w:tcW w:type="dxa" w:w="506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Train DeepLabV3+, U-Net, and SegFormer under identical settings</w:t>
            </w:r>
          </w:p>
        </w:tc>
        <w:tc>
          <w:tcPr>
            <w:tcW w:type="dxa" w:w="280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Trained models</w:t>
            </w:r>
          </w:p>
        </w:tc>
      </w:tr>
      <w:tr>
        <w:tc>
          <w:tcPr>
            <w:tcW w:type="dxa" w:w="1500"/>
            <w:shd w:fill="FFFFFF" w:color="auto" w:val="clear"/>
            <w:tcMar>
              <w:top w:type="dxa" w:w="80"/>
              <w:left w:type="dxa" w:w="120"/>
              <w:bottom w:type="dxa" w:w="80"/>
              <w:right w:type="dxa" w:w="120"/>
            </w:tcMar>
          </w:tcPr>
          <w:p>
            <w:pPr>
              <w:jc w:val="center"/>
            </w:pPr>
            <w:r>
              <w:rPr>
                <w:rFonts w:ascii="Calibri" w:cs="Calibri" w:eastAsia="Calibri" w:hAnsi="Calibri"/>
                <w:b/>
                <w:bCs/>
                <w:color w:val="222222"/>
                <w:sz w:val="20"/>
                <w:szCs w:val="20"/>
              </w:rPr>
              <w:t xml:space="preserve">11–13</w:t>
            </w:r>
          </w:p>
        </w:tc>
        <w:tc>
          <w:tcPr>
            <w:tcW w:type="dxa" w:w="506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Ablations: loss functions and band combinations</w:t>
            </w:r>
          </w:p>
        </w:tc>
        <w:tc>
          <w:tcPr>
            <w:tcW w:type="dxa" w:w="2800"/>
            <w:shd w:fill="FFFFFF"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Ablation results</w:t>
            </w:r>
          </w:p>
        </w:tc>
      </w:tr>
      <w:tr>
        <w:tc>
          <w:tcPr>
            <w:tcW w:type="dxa" w:w="1500"/>
            <w:shd w:fill="F1EFE8" w:color="auto" w:val="clear"/>
            <w:tcMar>
              <w:top w:type="dxa" w:w="80"/>
              <w:left w:type="dxa" w:w="120"/>
              <w:bottom w:type="dxa" w:w="80"/>
              <w:right w:type="dxa" w:w="120"/>
            </w:tcMar>
          </w:tcPr>
          <w:p>
            <w:pPr>
              <w:jc w:val="center"/>
            </w:pPr>
            <w:r>
              <w:rPr>
                <w:rFonts w:ascii="Calibri" w:cs="Calibri" w:eastAsia="Calibri" w:hAnsi="Calibri"/>
                <w:b/>
                <w:bCs/>
                <w:color w:val="222222"/>
                <w:sz w:val="20"/>
                <w:szCs w:val="20"/>
              </w:rPr>
              <w:t xml:space="preserve">14–16</w:t>
            </w:r>
          </w:p>
        </w:tc>
        <w:tc>
          <w:tcPr>
            <w:tcW w:type="dxa" w:w="506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Evaluation, error analysis, and thesis write-up</w:t>
            </w:r>
          </w:p>
        </w:tc>
        <w:tc>
          <w:tcPr>
            <w:tcW w:type="dxa" w:w="2800"/>
            <w:shd w:fill="F1EFE8"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Final thesis draft</w:t>
            </w:r>
          </w:p>
        </w:tc>
      </w:tr>
    </w:tbl>
    <w:p>
      <w:pPr>
        <w:pStyle w:val="Heading2"/>
        <w:spacing w:after="100" w:before="220"/>
      </w:pPr>
      <w:r>
        <w:rPr>
          <w:rFonts w:ascii="Calibri" w:cs="Calibri" w:eastAsia="Calibri" w:hAnsi="Calibri"/>
          <w:b/>
          <w:bCs/>
          <w:color w:val="222222"/>
          <w:sz w:val="25"/>
          <w:szCs w:val="25"/>
        </w:rPr>
        <w:t xml:space="preserve">7.1  Resources and Feasibility</w:t>
      </w:r>
    </w:p>
    <w:p>
      <w:pPr>
        <w:spacing w:after="160" w:line="300"/>
        <w:jc w:val="both"/>
      </w:pPr>
      <w:r>
        <w:rPr>
          <w:rFonts w:ascii="Calibri" w:cs="Calibri" w:eastAsia="Calibri" w:hAnsi="Calibri"/>
          <w:color w:val="222222"/>
          <w:sz w:val="22"/>
          <w:szCs w:val="22"/>
        </w:rPr>
        <w:t xml:space="preserve">All data are free: Sentinel-2 imagery and global land cover products are openly accessible through Google Earth Engine. Model training fits within free-tier cloud GPU resources such as Google Colab or Kaggle. Total storage requirements are modest (approximately 5 GB). No fieldwork or proprietary data is required, which makes the project highly feasible within the available time and budget.</w:t>
      </w:r>
    </w:p>
    <w:p>
      <w:pPr>
        <w:pStyle w:val="Heading1"/>
        <w:spacing w:after="140" w:before="320"/>
      </w:pPr>
      <w:r>
        <w:rPr>
          <w:rFonts w:ascii="Calibri" w:cs="Calibri" w:eastAsia="Calibri" w:hAnsi="Calibri"/>
          <w:b/>
          <w:bCs/>
          <w:color w:val="1F5C41"/>
          <w:sz w:val="30"/>
          <w:szCs w:val="30"/>
        </w:rPr>
        <w:t xml:space="preserve">8.  References</w:t>
      </w:r>
    </w:p>
    <w:p>
      <w:pPr>
        <w:spacing w:after="140" w:line="290"/>
        <w:ind w:left="480" w:hanging="480"/>
      </w:pPr>
      <w:r>
        <w:rPr>
          <w:rFonts w:ascii="Calibri" w:cs="Calibri" w:eastAsia="Calibri" w:hAnsi="Calibri"/>
          <w:color w:val="222222"/>
          <w:sz w:val="21"/>
          <w:szCs w:val="21"/>
        </w:rPr>
        <w:t xml:space="preserve">Chaaban, F., El Khattabi, J., &amp; Darwishe, H. (2022). Accuracy assessment of ESA WorldCover 2020 and ESRI 2020 land cover maps for a region in Syria. Journal of Geovisualization and Spatial Analysis, 6(2), 31. https://doi.org/10.1007/s41651-022-00126-w</w:t>
      </w:r>
    </w:p>
    <w:p>
      <w:pPr>
        <w:spacing w:after="140" w:line="290"/>
        <w:ind w:left="480" w:hanging="480"/>
      </w:pPr>
      <w:r>
        <w:rPr>
          <w:rFonts w:ascii="Calibri" w:cs="Calibri" w:eastAsia="Calibri" w:hAnsi="Calibri"/>
          <w:color w:val="222222"/>
          <w:sz w:val="21"/>
          <w:szCs w:val="21"/>
        </w:rPr>
        <w:t xml:space="preserve">Chen, L.-C., Zhu, Y., Papandreou, G., Schroff, F., &amp; Adam, H. (2018). Encoder-decoder with atrous separable convolution for semantic image segmentation. In Proceedings of the European Conference on Computer Vision (ECCV) (pp. 801–818). arXiv:1802.02611.</w:t>
      </w:r>
    </w:p>
    <w:p>
      <w:pPr>
        <w:spacing w:after="140" w:line="290"/>
        <w:ind w:left="480" w:hanging="480"/>
      </w:pPr>
      <w:r>
        <w:rPr>
          <w:rFonts w:ascii="Calibri" w:cs="Calibri" w:eastAsia="Calibri" w:hAnsi="Calibri"/>
          <w:color w:val="222222"/>
          <w:sz w:val="21"/>
          <w:szCs w:val="21"/>
        </w:rPr>
        <w:t xml:space="preserve">Kerner, H., Nakalembe, C., Yang, A., Zvonkov, I., McWeeny, R., Tseng, G., &amp; Becker-Reshef, I. (2024). How accurate are existing land cover maps for agriculture in Sub-Saharan Africa? Scientific Data, 11(1), 486. https://doi.org/10.1038/s41597-024-03306-z</w:t>
      </w:r>
    </w:p>
    <w:p>
      <w:pPr>
        <w:spacing w:after="140" w:line="290"/>
        <w:ind w:left="480" w:hanging="480"/>
      </w:pPr>
      <w:r>
        <w:rPr>
          <w:rFonts w:ascii="Calibri" w:cs="Calibri" w:eastAsia="Calibri" w:hAnsi="Calibri"/>
          <w:color w:val="222222"/>
          <w:sz w:val="21"/>
          <w:szCs w:val="21"/>
        </w:rPr>
        <w:t xml:space="preserve">Kervadec, H., Bouchtiba, J., Desrosiers, C., Granger, E., Dolz, J., &amp; Ben Ayed, I. (2019). Boundary loss for highly unbalanced segmentation. In Proceedings of Machine Learning Research (MIDL), 102, 285–296. arXiv:1812.07032.</w:t>
      </w:r>
    </w:p>
    <w:p>
      <w:pPr>
        <w:spacing w:after="140" w:line="290"/>
        <w:ind w:left="480" w:hanging="480"/>
      </w:pPr>
      <w:r>
        <w:rPr>
          <w:rFonts w:ascii="Calibri" w:cs="Calibri" w:eastAsia="Calibri" w:hAnsi="Calibri"/>
          <w:color w:val="222222"/>
          <w:sz w:val="21"/>
          <w:szCs w:val="21"/>
        </w:rPr>
        <w:t xml:space="preserve">Ronneberger, O., Fischer, P., &amp; Brox, T. (2015). U-Net: Convolutional networks for biomedical image segmentation. In Medical Image Computing and Computer-Assisted Intervention (MICCAI) (pp. 234–241). arXiv:1505.04597.</w:t>
      </w:r>
    </w:p>
    <w:p>
      <w:pPr>
        <w:spacing w:after="140" w:line="290"/>
        <w:ind w:left="480" w:hanging="480"/>
      </w:pPr>
      <w:r>
        <w:rPr>
          <w:rFonts w:ascii="Calibri" w:cs="Calibri" w:eastAsia="Calibri" w:hAnsi="Calibri"/>
          <w:color w:val="222222"/>
          <w:sz w:val="21"/>
          <w:szCs w:val="21"/>
        </w:rPr>
        <w:t xml:space="preserve">Su, D., Yang, K., Peng, Z., Sun, R., Zhang, M., Ma, L., Ma, J., &amp; Li, T. (2024). Analysing the spatial and temporal characteristics of ecological land encroachment by cropland expansion and its drivers in Cambodia. Land, 13(12), 2195. https://doi.org/10.3390/land13122195</w:t>
      </w:r>
    </w:p>
    <w:p>
      <w:pPr>
        <w:spacing w:after="140" w:line="290"/>
        <w:ind w:left="480" w:hanging="480"/>
      </w:pPr>
      <w:r>
        <w:rPr>
          <w:rFonts w:ascii="Calibri" w:cs="Calibri" w:eastAsia="Calibri" w:hAnsi="Calibri"/>
          <w:color w:val="222222"/>
          <w:sz w:val="21"/>
          <w:szCs w:val="21"/>
        </w:rPr>
        <w:t xml:space="preserve">Woo, S., Park, J., Lee, J.-Y., &amp; Kweon, I. S. (2018). CBAM: Convolutional block attention module. In Proceedings of the European Conference on Computer Vision (ECCV) (pp. 3–19). arXiv:1807.06521.</w:t>
      </w:r>
    </w:p>
    <w:p>
      <w:pPr>
        <w:spacing w:after="140" w:line="290"/>
        <w:ind w:left="480" w:hanging="480"/>
      </w:pPr>
      <w:r>
        <w:rPr>
          <w:rFonts w:ascii="Calibri" w:cs="Calibri" w:eastAsia="Calibri" w:hAnsi="Calibri"/>
          <w:color w:val="222222"/>
          <w:sz w:val="21"/>
          <w:szCs w:val="21"/>
        </w:rPr>
        <w:t xml:space="preserve">Xie, E., Wang, W., Yu, Z., Anandkumar, A., Alvarez, J. M., &amp; Luo, P. (2021). SegFormer: Simple and efficient design for semantic segmentation with transformers. In Advances in Neural Information Processing Systems (NeurIPS). arXiv:2105.15203.</w:t>
      </w:r>
    </w:p>
    <w:p>
      <w:pPr>
        <w:spacing w:after="140" w:line="290"/>
        <w:ind w:left="480" w:hanging="480"/>
      </w:pPr>
      <w:r>
        <w:rPr>
          <w:rFonts w:ascii="Calibri" w:cs="Calibri" w:eastAsia="Calibri" w:hAnsi="Calibri"/>
          <w:color w:val="222222"/>
          <w:sz w:val="21"/>
          <w:szCs w:val="21"/>
        </w:rPr>
        <w:t xml:space="preserve">Zanaga, D., Van De Kerchove, R., Daems, D., De Keersmaecker, W., Brockmann, C., Kirches, G., et al. (2022). ESA WorldCover 10 m 2021 v200. https://doi.org/10.5281/zenodo.7254221</w:t>
      </w:r>
    </w:p>
    <w:p>
      <w:pPr>
        <w:spacing w:after="140" w:line="290"/>
        <w:ind w:left="480" w:hanging="480"/>
      </w:pPr>
      <w:r>
        <w:rPr>
          <w:rFonts w:ascii="Calibri" w:cs="Calibri" w:eastAsia="Calibri" w:hAnsi="Calibri"/>
          <w:color w:val="222222"/>
          <w:sz w:val="21"/>
          <w:szCs w:val="21"/>
        </w:rPr>
        <w:t xml:space="preserve">Zhu, H., Yu, T., Mi, X., Yang, J., Tian, C., Liu, P., Yan, J., Meng, Y., Jiang, Z., &amp; Ma, Z. (2024). Large-scale land cover mapping framework based on prior product label generation: A case study of Cambodia. Remote Sensing, 16(13), 2443. https://doi.org/10.3390/rs16132443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center"/>
    </w:pPr>
    <w:r>
      <w:rPr>
        <w:rFonts w:ascii="Calibri" w:cs="Calibri" w:eastAsia="Calibri" w:hAnsi="Calibri"/>
        <w:color w:val="555555"/>
        <w:sz w:val="18"/>
        <w:szCs w:val="18"/>
      </w:rPr>
      <w:t xml:space="preserve">Thesis Proposal — Cambodian Land Cover Segmentation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RQ%1."/>
      <w:lvlJc w:val="left"/>
      <w:pPr>
        <w:ind w:left="620" w:hanging="4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SWIR-Attention DeepLabV3+ for Cambodian Land Cover Segmentation</dc:title>
  <dc:creator>Thesis Proposal</dc:creator>
  <cp:lastModifiedBy>Un-named</cp:lastModifiedBy>
  <cp:revision>1</cp:revision>
  <dcterms:created xsi:type="dcterms:W3CDTF">2026-07-28T15:39:01.400Z</dcterms:created>
  <dcterms:modified xsi:type="dcterms:W3CDTF">2026-07-28T15:39:01.435Z</dcterms:modified>
</cp:coreProperties>
</file>

<file path=docProps/custom.xml><?xml version="1.0" encoding="utf-8"?>
<Properties xmlns="http://schemas.openxmlformats.org/officeDocument/2006/custom-properties" xmlns:vt="http://schemas.openxmlformats.org/officeDocument/2006/docPropsVTypes"/>
</file>