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Famílias de Modelos e Licenças: Uma Análise Estratégica para Agentes de IA</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 Introdução: Escolhas Estratégicas no Desenvolvimento de Agentes de IA</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 Cenário Crescente dos Agentes de IA e a Importância da Seleção de Modelos Fundamentais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cenário da inteligência artificial (IA) testemunha uma rápida evolução com o advento dos agentes de IA, sistemas autônomos que utilizam Modelos de Linguagem Grandes (LLMs) para executar uma vasta gama de tarefas complexas. Estes abrangem desde a resposta a perguntas e a geração de código até o planejamento de férias e a otimização de portfólios financeiros. A arquitetura fundamental de um agente de IA tipicamente compreende três componentes essenciais: um modelo, ferramentas e um prompt. Dentro desta estrutura, o modelo atua como o "cérebro" central, orquestrando dinamicamente suas próprias etapas e o uso de ferramentas para cumprir a tarefa designada.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seleção do LLM subjacente é uma decisão de importância crítica para as empresas. Esta escolha não apenas molda a velocidade da inovação e a estrutura de custos, mas também define a flexibilidade estratégica e a capacidade de atender a casos de uso específicos. A dependência do modelo para raciocínio, planejamento e utilização de ferramentas significa que suas capacidades inerentes são diretamente proporcionais à eficácia do agente de IA. O presente relatório aprofundará as distinções cruciais entre modelos de pesos abertos (Open Weight Models) e modelos de pesos fechados (Closed Weight Models), fornecendo um arcabouço para a tomada de decisões informadas nas estratégias de agentes de IA empresariais.</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Preparando o Terreno: Modelos de Pesos Abertos vs. Modelos de Pesos Fechados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discussão central deste relatório reside na dicotomia fundamental entre modelos cujos parâmetros são publicamente acessíveis, conhecidos como modelos de pesos abertos, e aqueles que são proprietários e estritamente controlados, referidos como modelos de pesos fechados. Esta distinção não é meramente técnica; ela carrega implicações significativas para a forma como os agentes de IA são desenvolvidos, implantados, personalizados e governados dentro de uma organização. A escolha entre estas abordagens impacta diretamente a autonomia da empresa sobre sua infraestrutura de IA, a capacidade de inovação e a gestão de riscos associados à dependência de terceiros.</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II. Compreendendo as Famílias de Modelos de IA</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Definição e Significado das "Famílias de Modelos" no Ecossistema de IA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"família de modelos" refere-se a um grupo de modelos de IA relacionados, frequentemente desenvolvidos pelo mesmo provedor, que compartilham arquiteturas, metodologias de treinamento ou capacidades subjacentes semelhantes. Essas famílias geralmente se apresentam em diferentes tamanhos ou otimizações, adaptadas para diversas necessidades de implantação, como dispositivos de borda, instâncias de GPU única ou servidores multi-GPU. Exemplos proeminentes incluem a família de modelos Claude da Anthropic e a família de modelos Llama da Meta. A família Llama Nemotron da Nvidia, construída sobre os modelos Llama da Meta, ilustra esta abordagem ao oferecer tamanhos Nano, Super e Ultra para diferentes cenários de implantação.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família de modelos transcende a mera seleção de um modelo individual; ela representa uma escolha estratégica de ecossistema. Isso se deve ao fato de que uma família de modelos geralmente implica um roteiro de diferentes tamanhos e otimizações, como as versões Nano, Super e Ultra da família Llama Nemotron, otimizadas para diversos cenários de implantação, desde dispositivos de borda até servidores multi-GPU. Esta diversidade de otimizações não se limita às capacidades atuais, mas se estende à escalabilidade futura e à adaptabilidade em ambientes computacionais variados. Para os líderes de tecnologia, optar por uma família de modelos significa um compromisso com o ecossistema em evolução de um fornecedor, o que pode resultar em uma redução significativa da sobrecarga de integração futura e garantir suporte contínuo para novas capacidades de agente. Consequentemente, a escolha de uma família de modelos é uma decisão estratégica para a infraestrutura de IA a longo prazo, e não apenas uma seleção tática de um modelo.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 conceito de famílias de modelos é crucial porque oferece aos desenvolvedores flexibilidade e opções para selecionar o componente central de IA de seus agentes, permitindo-lhes escolher com base no desempenho, custo ou capacidades específicas de raciocínio e uso de ferramentas oferecidas por uma determinada família de modelos.</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Relevância para os Frameworks de Agentes de IA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kits de desenvolvimento de software (SDKs) de agentes de IA, como o Strands Agents, são projetados para suportar uma ampla gama de modelos com capacidades de raciocínio e uso de ferramentas, incluindo aqueles de várias famílias de modelos e provedores. Essa flexibilidade permite que os desenvolvedores integrem o modelo mais adequado para a tarefa de seu agente.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capacidade dos LLMs de raciocinar, planejar e usar ferramentas melhorou drasticamente, simplificando o desenvolvimento de agentes de IA complexos. Historicamente, a construção de agentes exigia uma orquestração complexa. No entanto, à medida que os LLMs dentro das famílias de modelos aprimoraram inerentemente suas capacidades de raciocínio e uso de ferramentas, a complexidade do desenvolvimento de agentes diminuiu. Essa relação causal significa que as capacidades intrínsecas de uma família de modelos escolhida podem reduzir significativamente o tempo e o esforço de desenvolvimento, tornando os agentes de IA avançados mais acessíveis para as empresas. Isso transfere o ônus do design intrincado do framework do agente para o aproveitamento da inteligência inata do modelo. Famílias de modelos como a Llama Nemotron são especificamente projetadas para fornecer às empresas uma base para o desenvolvimento de agentes de IA, aprimorando as capacidades em matemática multi-etapas, codificação, raciocínio e tomada de decisões complexas.</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III. Modelos de Pesos Abertos: Características, Vantagens e Desafios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Definindo Modelos de Pesos Abertos: Além do "Código Aberto"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 "modelo de pesos abertos" refere-se a um LLM onde os parâmetros do modelo, ou seja, seus pesos e vieses, estão publicamente disponíveis para download, inspeção e uso. É crucial notar que "pesos abertos" não é sinônimo de "código aberto". Enquanto os modelos de código aberto geralmente fornecem tudo — arquitetura, código de treinamento, conjuntos de dados e pesos — os modelos de pesos abertos liberam apenas os parâmetros finais treinados. Isso significa que os usuários obtêm o "prato final", mas não a "receita completa".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Os modelos de pesos abertos frequentemente vêm com licenças específicas que podem incluir restrições de uso, particularmente para grandes empresas que comercializam serviços baseados neles.</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Características Técnicas e Operacionais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Os desenvolvedores podem utilizar modelos pré-treinados poderosos sem incorrer no alto custo e tempo de treinamento do zero. Isso permite o uso rápido e a experimentação com modelos avançados em projetos. Modelos de pesos abertos podem ser combinados com técnicas como quantização e poda de modelos para criar soluções de IA eficientes e focadas na privacidade, otimizadas para ambientes com baixa energia e recursos limitados, como dispositivos de borda.</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Principais Vantagens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principal vantagem dos modelos de pesos abertos reside no fomento à inovação e experimentação. Eles incentivam a pesquisa, a experimentação e a inovação impulsionada pela comunidade. Pesquisadores e desenvolvedores podem "entrar no capô e mexer" , o que acelera o progresso no campo da IA.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termos de custo-eficiência a longo prazo, embora possa haver custos iniciais mais altos para infraestrutura (servidores, expertise interna), os modelos de código aberto (que incluem pesos abertos) podem ser mais econômicos a longo prazo em comparação com modelos proprietários que escalam com o uso da API. Isso representa uma decisão financeira crítica: investir mais inicialmente para obter propriedade e controle, ou arcar com custos variáveis, potencialmente exponenciais, com menos controle. Para agentes de IA que exigem extensa personalização ou alto volume de uso, os benefícios de custo a longo prazo e a capacidade de evitar o bloqueio do fornecedor tornam os pesos abertos uma escolha estratégica atraente.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personalização e o ajuste fino são outras vantagens significativas. Os modelos de pesos abertos capacitam as organizações a realizar o ajuste fino para casos de uso específicos e a integrar dados proprietários de forma segura, oferecendo maior controle sobre os ativos de IA. A capacidade de modificar o sistema é uma liberdade fundamental da IA de código aberto.</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flexibilidade de implantação é particularmente notável para dispositivos de borda e privacidade. Modelos de pesos abertos são especialmente benéficos para IA na borda, permitindo ecossistemas de IA personalizados, eficientes e focados na privacidade. Seus parâmetros públicos permitem otimizações como quantização e poda para dispositivos com recursos limitados. Isso também permite a implantação auto-hospedada, o que pode aumentar a segurança e a privacidade dos dados. Dispositivos de borda são restritos em recursos e frequentemente lidam com dados sensíveis e localizados. Os modelos de pesos abertos, por meio de técnicas como quantização e poda, podem ser otimizados para menor consumo de energia e inferência eficiente nesses dispositivos. Crucialmente, a capacidade de implantar esses modelos localmente aumenta a privacidade ao manter os dados no dispositivo, evitando a necessidade de enviá-los para APIs proprietárias baseadas em nuvem. Isso torna os modelos de pesos abertos não apenas uma preferência técnica, mas uma necessidade estratégica para agentes de IA que operam em ambientes sensíveis à privacidade ou desconectados.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Finalmente, a transparência (parcial) e a reprodutibilidade (limitada) são benefícios importantes. Embora não sejam totalmente transparentes, os pesos abertos oferecem mais visibilidade do que as soluções puramente proprietárias. Eles promovem alguma transparência e reprodutibilidade na pesquisa de IA, permitindo a validação e o teste de estresse.</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Desafios Associados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Apesar das vantagens, os modelos de pesos abertos enfrentam desafios. A falta de reprodutibilidade total é uma preocupação, pois sem o código de treinamento ou os pontos de verificação intermediários, os pesquisadores não podem replicar completamente o processo de desenvolvimento do modelo, o que dificulta a identificação de vieses e a retificação de erros.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opacidade dos dados é outro ponto crítico. Os pesos abertos frequentemente não esclarecem como o conjunto de dados de treinamento foi construído ou limpo, levando a um "ponto cego significativo" na avaliação da qualidade ou diversidade dos dados, o que pode perpetuar vieses prejudiciais. A distinção entre "pesos abertos" e "código aberto" revela um espectro de transparência, com ramificações éticas significativas. Os pesos abertos fornecem alguma transparência ao liberar parâmetros. No entanto, a ausência do código de treinamento, pontos de verificação intermediários e divulgação completa dos dados de treinamento significa que aspectos críticos como detecção de vieses e responsabilidade total ainda são prejudicados. Isso implica que, embora os pesos abertos sejam um passo em direção à abertura, eles podem criar uma falsa sensação de segurança em relação ao desenvolvimento e governança ética da IA. A verdadeira IA ética, especialmente para aplicações sensíveis como saúde ou justiça criminal , exige total transparência que os pesos abertos por si só não podem fornecer, necessitando de um escrutínio cuidadoso da alegação de "abertura".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colaboração limitada da comunidade, especificamente para pesos abertos, é uma desvantagem em comparação com a IA de código aberto completa. Os pesos abertos restringem as contribuições significativas da comunidade a ajustes superficiais, em vez de melhorias aprofundadas.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Além disso, existem obstáculos regulatórios. A divulgação apenas dos pesos finais pode não atender às regulamentações emergentes que exigem padrões mais elevados de transparência para justiça, privacidade ou explicabilidade, especialmente em domínios sensíveis como finanças e saúde.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Por fim, os recursos e o suporte podem ser limitados. A comunidade de código aberto, embora vibrante, pode nem sempre ter o mesmo nível de recursos ou fornecer atualizações e suporte consistentes e confiáveis que grandes corporações que desenvolvem modelos de código fechado.</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Frameworks de Licenciamento para Modelos de Pesos Abertos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Modelos de pesos abertos, mesmo que não sejam totalmente de código aberto, vêm com licenças específicas que governam seu uso. Muitas licenças populares de código aberto são aplicáveis, incluindo :</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Licença MIT:</w:t>
      </w:r>
      <w:r w:rsidDel="00000000" w:rsidR="00000000" w:rsidRPr="00000000">
        <w:rPr>
          <w:rtl w:val="0"/>
        </w:rPr>
        <w:t xml:space="preserve"> Altamente permissiva, permitindo o uso, modificação e distribuição gratuitos com restrições mínimas. É adequada para ampla adoção e inovação.</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Licença Apache 2.0:</w:t>
      </w:r>
      <w:r w:rsidDel="00000000" w:rsidR="00000000" w:rsidRPr="00000000">
        <w:rPr>
          <w:rtl w:val="0"/>
        </w:rPr>
        <w:t xml:space="preserve"> Inclui uma concessão de patente e exige atribuição, sendo adequada para projetos com múltiplos colaboradores ou intenção de comercialização.</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Licença Pública Geral GNU (GPL):</w:t>
      </w:r>
      <w:r w:rsidDel="00000000" w:rsidR="00000000" w:rsidRPr="00000000">
        <w:rPr>
          <w:rtl w:val="0"/>
        </w:rPr>
        <w:t xml:space="preserve"> Uma licença "copyleft" que garante que trabalhos derivados sejam distribuídos sob os mesmos termos abertos, promovendo a abertura e a livre distribuição do conhecimento.</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Licença BSD:</w:t>
      </w:r>
      <w:r w:rsidDel="00000000" w:rsidR="00000000" w:rsidRPr="00000000">
        <w:rPr>
          <w:rtl w:val="0"/>
        </w:rPr>
        <w:t xml:space="preserve"> Permite o uso, modificação e distribuição, exigindo a retenção de avisos de direitos autorais, é compatível com software proprietário e não possui obrigações de copyleft.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Licenças Creative Commons (por exemplo, CC BY-NC-SA):</w:t>
      </w:r>
      <w:r w:rsidDel="00000000" w:rsidR="00000000" w:rsidRPr="00000000">
        <w:rPr>
          <w:rtl w:val="0"/>
        </w:rPr>
        <w:t xml:space="preserve"> Permitem que os criadores especifiquem termos para uso, modificação e distribuição, frequentemente exigindo atribuição e uso não comercial.</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IV. Modelos de Pesos Fechados: Características, Benefícios e Limitações</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Definindo Modelos de Pesos Fechados (Proprietários)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Os LLMs de pesos fechados, também conhecidos como modelos de linguagem proprietários, têm seu código-fonte e parâmetros internos (pesos) mantidos confidenciais. Esses modelos são tipicamente desenvolvidos, mantidos e de propriedade de grandes corporações. Os usuários acessam esses modelos principalmente por meio de APIs, interagindo com uma "caixa preta" onde o funcionamento interno não é visível.</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Características Técnicas e Operacionais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Esses modelos são frequentemente implantados em infraestrutura de IA em nuvem fornecida pelo fornecedor (por exemplo, Azure AI, Google Vertex AI, AWS Bedrock), que gerencia a computação, o armazenamento e a segurança. A integração é frequentemente simplificada por meio de conectores de API e SDKs pré-construídos.</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Principais Benefícios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Uma das principais vantagens dos LLMs de código fechado é a abundância de recursos e a melhoria contínua. As corporações por trás desses LLMs investem substancialmente em pesquisa, desenvolvimento e aprimoramento contínuo. Isso resulta em soluções robustas e bem suportadas.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suporte dedicado é outro benefício significativo. Modelos de código fechado frequentemente vêm com assistência profissional, solução de problemas e orientação especializada da corporação desenvolvedora, o que é inestimável para uma implantação e desempenho bem-sucedidos.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facilidade de integração e a experiência "plug-and-play" são altamente valorizadas. Modelos proprietários eliminam a necessidade de configuração de infraestrutura interna e oferecem uma solução pronta para uso, simplificando a implantação para as empresas.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Por fim, a conformidade integrada (gerenciada pelo fornecedor) pode ser um atrativo. Os fornecedores frequentemente gerenciam a segurança dos dados e a conformidade regulatória, o que pode ser vantajoso para empresas em setores altamente regulamentados, embora uma avaliação cuidadosa ainda seja necessária.</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Limitações Associadas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limitação mais significativa dos LLMs de código fechado é o controle limitado que as organizações possuem sobre o modelo. Com o código-fonte proprietário e inacessível, a personalização e o ajuste fino tornam-se desafiadores. Isso se manifesta em uma personalização limitada, pois as organizações não podem acessar ou modificar a arquitetura subjacente e os parâmetros de peso, restringindo sua capacidade de adaptar o modelo a requisitos únicos, o que pode levar a um desempenho abaixo do ideal em certas aplicações. As opções de ajuste fino são frequentemente restritas ou indisponíveis.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falta de transparência é uma preocupação crítica. Os LLMs de código fechado frequentemente carecem de visibilidade em seus processos internos, o que significa que as organizações podem não ter total clareza sobre como o modelo chega às suas previsões ou decisões. Essa ausência de transparência é uma preocupação significativa para a responsabilidade e a explicabilidade. A natureza de "caixa preta" dos modelos de pesos fechados representa um desafio considerável para a governança, especialmente para agentes de IA em aplicações críticas. A falta de visibilidade nos processos internos do modelo dificulta a avaliação de como as decisões são tomadas, a identificação de vieses ou a garantia de conformidade com diretrizes éticas. Para agentes de IA implantados em áreas sensíveis como saúde ou finanças , onde a responsabilidade e a explicabilidade são primordiais, essa falta de transparência é um risco importante. As empresas precisarão de equipes robustas de governança e conformidade de IA para monitorar as saídas e abordar preocupações éticas, mesmo sem visibilidade interna do funcionamento do modelo. Isso implica uma mudança na estratégia de governança, de auditoria interna para monitoramento e validação externa.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bloqueio do fornecedor é um risco inerente. A dependência da infraestrutura e das APIs de um fornecedor proprietário pode levar ao bloqueio do fornecedor, limitando a flexibilidade estratégica e dificultando a troca de provedores.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 custos imprevisíveis e crescentes são uma preocupação financeira. Os custos escalam com o volume de chamadas de API, o que significa que as despesas podem aumentar exponencialmente à medida que a adoção da IA cresce. Isso pode ser um ônus financeiro significativo a longo prazo. Os modelos proprietários transferem os custos de despesas de capital (CapEx) iniciais para despesas operacionais (OpEx), mas introduzem riscos significativos de escalabilidade devido à precificação variável da API. Embora os modelos proprietários eliminem os custos iniciais de infraestrutura, oferecendo uma experiência "plug-and-play" , os custos para esses modelos são tipicamente baseados em assinatura ou pagamento por uso, escalando diretamente com o volume de chamadas de API. À medida que o uso do agente de IA aumenta dentro de uma empresa, esses custos podem escalar exponencialmente e de forma imprevisível. Isso cria um risco financeiro onde o sucesso (alto uso) leva a custos desproporcionalmente mais altos, potencialmente superando as economias iniciais de CapEx. Os líderes de tecnologia devem modelar cuidadosamente os cenários de uso a longo prazo para evitar surpresas financeiras na produção.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Por fim, existem preocupações com a propriedade e o uso dos dados. As empresas devem revisar cuidadosamente os termos de licenciamento para entender como seus dados são tratados, retidos ou potencialmente utilizados pelo fornecedor para futuras melhorias do modelo.</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Modelos de Licenciamento Proprietários e Seus Termos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Os modelos de IA proprietários operam tipicamente sob modelos de licenciamento baseados em assinatura ou pagamento por uso. Essas licenças concedem direitos de uso comercial do software de IA, mas proíbem estritamente a modificação, engenharia reversa, distribuição, sublicenciamento ou compartilhamento do código com terceiros. As taxas de licenciamento podem ser baseadas no volume de usuários, no escopo de uso ou no número de produtos. Os termos chave a serem revisados incluem: políticas de tratamento de dados, restrições de ajuste fino, limites de taxa de API, níveis de preços e alinhamento de conformidade. A conveniência dos modelos proprietários vem com o custo da dependência estratégica e da liberdade limitada de inovação. Modelos proprietários oferecem facilidade de uso, suporte dedicado e infraestrutura gerenciada. Essa conveniência é um grande atrativo para a implantação rápida. No entanto, ela cria inerentemente um bloqueio do fornecedor. A incapacidade de ajustar ou modificar completamente o modelo significa que as empresas dependem do roteiro de inovação do fornecedor e não podem diferenciar totalmente seus agentes de IA por meio de adaptações exclusivas do modelo. Essa troca implica que, embora os modelos proprietários ofereçam ganhos rápidos, eles podem limitar a agilidade estratégica e a vantagem competitiva de uma empresa em IA a longo prazo.</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V. Análise Comparativa: Implicações Estratégicas para Agentes de IA</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Comparação Direta Através de Dimensões Críticas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 seção oferece uma comparação lado a lado de modelos de pesos abertos e fechados, sintetizando as vantagens e desvantagens discutidas anteriormente.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Característica</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Modelos de Pesos Abertos (Open Weight)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Modelos de Pesos Fechados (Closed Weight)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Pesos e Vieses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Liberados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Liberados (via API)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Código de Treinamento</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Não compartilhado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Não compartilhado (confidencial)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Pontos de Verificação Intermediários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Retidos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Retidos (confidencial)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Conjunto de Dados de Treinamento</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Não compartilhado/não divulgado</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Não compartilhado/não divulgado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Composição dos Dados de Treinamento</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Parcialmente/não divulgado</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Não divulgado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Transparência</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Parcial (pesos disponíveis)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Baixa ("caixa preta")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Modificação/Personalização</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Alta (ajuste fino completo, integração de dados proprietários)</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Limitada (código e pesos inacessíveis; opções de ajuste fino restritas)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Papel da Comunidade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Pequeno papel no desenvolvimento, mas grande na experimentação e uso</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Nenhum papel; desenvolvimento controlado pela empresa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Suporte</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Limitado; depende de documentação ou fóruns da comunidade</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Dedicado e profissional do desenvolvedor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Estrutura de Custos</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Custos iniciais de infraestrutura/experiência mais altos; custos operacionais de longo prazo potencialmente mais baixos e previsíveis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Custos iniciais mais baixos (sem infraestrutura); custos crescentes e potencialmente imprevisíveis com o aumento do uso da API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Bloqueio do Fornecedor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Baixo; maior controle sobre os ativos de IA</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Alto; dependência da infraestrutura e APIs do fornecedor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Flexibilidade de Implantação</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Alta (auto-hospedagem, otimizado para borda)</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Baixa (dependência da infraestrutura em nuvem do fornecedor)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Privacidade de Dados</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Maior controle sobre a segurança e privacidade dos dados (auto-hospedagem)</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Dados sensíveis passam por infraestrutura externa; requer avaliação cuidadosa das políticas do fornecedor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Considerações Éticas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Maior escrutínio para vieses e justiça; a supervisão da comunidade pode ser vital</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natureza de "caixa preta" dificulta a identificação de vieses; preocupações com responsabilidade e desempenho ético</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b w:val="1"/>
        </w:rPr>
      </w:pPr>
      <w:r w:rsidDel="00000000" w:rsidR="00000000" w:rsidRPr="00000000">
        <w:rPr>
          <w:b w:val="1"/>
          <w:rtl w:val="0"/>
        </w:rPr>
        <w:t xml:space="preserve">Tabela 1: Modelos de Pesos Abertos vs. Modelos de Pesos Fechados: Uma Visão Comparativa</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Estrutura de Tomada de Decisão para Empresas que Desenvolvem Agentes de IA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escolha ideal entre modelos de pesos abertos e fechados depende das necessidades específicas da empresa, dos casos de uso, do orçamento e das prioridades estratégicas. A escolha entre modelos abertos e fechados para agentes de IA não é binária, mas uma decisão de "adequação ao propósito" impulsionada por requisitos de caso de uso específicos. A pesquisa destaca diversos casos de uso de LLMs para agentes, desde chatbots de suporte ao cliente até diagnósticos médicos e geração de código. Cada caso de uso possui demandas únicas por precisão, criatividade, sensibilidade de dados e desempenho. Por exemplo, um agente de base de conhecimento médico exige alta fidelidade e relevância clínica, potencialmente favorecendo modelos com maior transparência ou suporte rigoroso do fornecedor. Por outro lado, um agente de escrita criativa para marketing pode se beneficiar da diversidade oferecida por configurações de temperatura mais altas , que podem ser mais facilmente controladas com pesos abertos. Isso implica que as empresas devem realizar uma análise aprofundada dos requisitos para cada iniciativa de agente de IA, em vez de adotar uma política abrangente para a escolha do modelo.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considerações para agentes de IA incluem:</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Precisão e Consistência Factual:</w:t>
      </w:r>
      <w:r w:rsidDel="00000000" w:rsidR="00000000" w:rsidRPr="00000000">
        <w:rPr>
          <w:rtl w:val="0"/>
        </w:rPr>
        <w:t xml:space="preserve"> Para agentes em domínios críticos como saúde ou finanças , a precisão factual e a prevenção de alucinações são primordiais. Isso pode favorecer modelos com maior transparência ou aqueles rigorosamente suportados por um fornecedor.</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Personalização para Tarefas Específicas do Domínio:</w:t>
      </w:r>
      <w:r w:rsidDel="00000000" w:rsidR="00000000" w:rsidRPr="00000000">
        <w:rPr>
          <w:rtl w:val="0"/>
        </w:rPr>
        <w:t xml:space="preserve"> Agentes para tarefas especializadas (por exemplo, pesquisa jurídica, diagnósticos médicos, geração de código ) frequentemente exigem ajuste fino com dados proprietários. Modelos de pesos abertos oferecem capacidades superiores nesse aspecto.</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Sensibilidade e Segurança dos Dados:</w:t>
      </w:r>
      <w:r w:rsidDel="00000000" w:rsidR="00000000" w:rsidRPr="00000000">
        <w:rPr>
          <w:rtl w:val="0"/>
        </w:rPr>
        <w:t xml:space="preserve"> Se os agentes de IA lidam com dados sensíveis de clientes ou corporativos , a capacidade de auto-hospedagem e controle do fluxo de dados (como com pesos abertos) torna-se um fator crítico de segurança e conformidade.</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Escalabilidade e Gerenciamento de Custos:</w:t>
      </w:r>
      <w:r w:rsidDel="00000000" w:rsidR="00000000" w:rsidRPr="00000000">
        <w:rPr>
          <w:rtl w:val="0"/>
        </w:rPr>
        <w:t xml:space="preserve"> Para agentes que se espera que operem em alto volume, a previsibilidade e o controle de custos a longo prazo (oferecidos por pesos abertos) são vitais.</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IA Ética e Responsabilidade:</w:t>
      </w:r>
      <w:r w:rsidDel="00000000" w:rsidR="00000000" w:rsidRPr="00000000">
        <w:rPr>
          <w:rtl w:val="0"/>
        </w:rPr>
        <w:t xml:space="preserve"> A natureza de "caixa preta" dos modelos fechados apresenta desafios para a auditoria e garantia de comportamento ético, especialmente para agentes que tomam decisões críticas. A abertura, mesmo que parcial, pode auxiliar na abordagem de vieses.</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Tempo de Lançamento no Mercado:</w:t>
      </w:r>
      <w:r w:rsidDel="00000000" w:rsidR="00000000" w:rsidRPr="00000000">
        <w:rPr>
          <w:rtl w:val="0"/>
        </w:rPr>
        <w:t xml:space="preserve"> Modelos proprietários oferecem uma experiência "plug-and-play" mais rápida para a implantação inicial.</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Explorando Estratégias de Modelos Híbridos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Muitas empresas estão adotando uma abordagem híbrida, combinando modelos de IA proprietários e de código aberto/pesos abertos. A crescente adoção de modelos híbridos significa um amadurecimento na estratégia de IA empresarial, movendo-se além de debates ideológicos para soluções pragmáticas e otimizadas. Inicialmente, o debate pode ter sido "aberto vs. fechado". No entanto, a evidência mostra que grandes players como Salesforce, Oracle e SAP estão adotando abordagens híbridas. Isso sugere que as empresas reconhecem as trocas inerentes de cada tipo de modelo e estão combinando-os estrategicamente para mitigar riscos (bloqueio do fornecedor, custos imprevisíveis) enquanto maximizam os benefícios (conveniência, personalização, controle). Essa evolução implica que as futuras arquiteturas de IA empresarial para agentes provavelmente serão heterogêneas, exigindo capacidades de integração robustas e frameworks de governança diferenciados para gerenciar diversos tipos de modelos.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Os benefícios dessa estratégia incluem a capacidade de alavancar os pontos fortes de ambos: a conveniência e o suporte dedicado de modelos proprietários para tarefas gerais, e a personalização, controle e custo-efetividade de modelos de pesos abertos para casos de uso específicos, sensíveis ou de alto volume. Exemplos incluem o Agentforce da Salesforce, que permite a alternância entre modelos proprietários e abertos, e o suporte da Oracle e SAP aos modelos LLaMA, permitindo a integração de ambos. As implicações dessa abordagem são a redução do bloqueio do fornecedor, mantendo a flexibilidade para futuras necessidades de IA. Isso reconhece que nenhum tipo de modelo único é uma panaceia para todos os requisitos de agentes de IA empresariais.</w:t>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VI. Conclusão e Recomendações Futuras</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Resumo das Principais Aprendizagens e Trocas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decisão entre modelos de pesos abertos e fechados para agentes de IA é uma escolha estratégica multifacetada, que equilibra capacidades técnicas com imperativos de negócios e considerações éticas. Modelos de pesos abertos oferecem controle, personalização e custo-efetividade a longo prazo inigualáveis, especialmente para implantações de borda e aplicações sensíveis à privacidade, mas exigem maior investimento inicial e gerenciamento cuidadoso da transparência parcial. Por outro lado, modelos de pesos fechados proporcionam conveniência, suporte dedicado e menores custos iniciais de infraestrutura, mas vêm com limitações de controle, personalização, transparência e o risco de custos crescentes e bloqueio do fornecedor. A distinção entre "pesos abertos" e "código aberto" é crucial, pois pesos abertos não garantem total transparência ou reprodutibilidade, impactando a responsabilidade ética. O surgimento de famílias de modelos e a crescente sofisticação dos LLMs em raciocínio e uso de ferramentas estão simplificando o desenvolvimento de agentes de IA, independentemente da abertura do modelo.</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Recomendações Acionáveis para Navegar nas Escolhas de Modelos em Iniciativas de Agentes de IA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as empresas que buscam otimizar suas estratégias de agentes de IA, as seguintes recomendações acionáveis são cruciais:</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Realizar uma Análise Aprofundada do Caso de Uso:</w:t>
      </w:r>
      <w:r w:rsidDel="00000000" w:rsidR="00000000" w:rsidRPr="00000000">
        <w:rPr>
          <w:rtl w:val="0"/>
        </w:rPr>
        <w:t xml:space="preserve"> Avaliar os requisitos específicos de cada agente de IA em termos de precisão, personalização, sensibilidade de dados, desempenho e implicações éticas. Essa abordagem de "adequação ao propósito" guiará a seleção do modelo.</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Avaliar o Custo Total de Propriedade (CTP):</w:t>
      </w:r>
      <w:r w:rsidDel="00000000" w:rsidR="00000000" w:rsidRPr="00000000">
        <w:rPr>
          <w:rtl w:val="0"/>
        </w:rPr>
        <w:t xml:space="preserve"> Ir além dos custos imediatos da API para incluir despesas de longo prazo com infraestrutura, ajuste fino, segurança e manutenção contínua. Modelar o uso projetado para entender os custos de escalabilidade para soluções proprietárias.</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Priorizar Controle e Personalização para IP Central:</w:t>
      </w:r>
      <w:r w:rsidDel="00000000" w:rsidR="00000000" w:rsidRPr="00000000">
        <w:rPr>
          <w:rtl w:val="0"/>
        </w:rPr>
        <w:t xml:space="preserve"> Para agentes de IA que incorporam lógica de negócios central ou vantagem competitiva, ou que exigem integração profunda com dados proprietários, inclinar-se para modelos de pesos abertos para manter o controle e evitar o bloqueio do fornecedor.</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Desenvolver uma Estratégia Híbrida:</w:t>
      </w:r>
      <w:r w:rsidDel="00000000" w:rsidR="00000000" w:rsidRPr="00000000">
        <w:rPr>
          <w:rtl w:val="0"/>
        </w:rPr>
        <w:t xml:space="preserve"> Adotar uma abordagem pragmática combinando modelos proprietários para tarefas gerais e menos sensíveis com modelos de pesos abertos para agentes de IA especializados, de alto volume ou críticos para a privacidade. Isso maximiza a flexibilidade e mitiga riscos.</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Fortalecer a Governança e Conformidade da IA:</w:t>
      </w:r>
      <w:r w:rsidDel="00000000" w:rsidR="00000000" w:rsidRPr="00000000">
        <w:rPr>
          <w:rtl w:val="0"/>
        </w:rPr>
        <w:t xml:space="preserve"> Independentemente da escolha do modelo, estabelecer estruturas robustas de governança interna para monitorar as saídas dos agentes de IA quanto a vieses, precisão e conformidade, especialmente dada a natureza de "caixa preta" dos modelos fechados e a transparência parcial dos pesos abertos.</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Investir em Talentos Internos de IA:</w:t>
      </w:r>
      <w:r w:rsidDel="00000000" w:rsidR="00000000" w:rsidRPr="00000000">
        <w:rPr>
          <w:rtl w:val="0"/>
        </w:rPr>
        <w:t xml:space="preserve"> Para modelos de pesos abertos, construir ou adquirir expertise interna para implantação, ajuste fino e gerenciamento contínuo. Para modelos proprietários, garantir que as equipes sejam proficientes em engenharia de prompt e otimização de API.</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Examinar Acordos de Licenciamento:</w:t>
      </w:r>
      <w:r w:rsidDel="00000000" w:rsidR="00000000" w:rsidRPr="00000000">
        <w:rPr>
          <w:rtl w:val="0"/>
        </w:rPr>
        <w:t xml:space="preserve"> Prestar atenção meticulosa ao tratamento de dados, políticas de retenção, restrições de ajuste fino e termos de uso comercial para licenças de pesos abertos e proprietárias.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Cenário</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Modelo de Código Aberto (ex: LLaMA, Mistral) Custos Aproximados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Modelo Proprietário (ex: GPT-4, Claude, Gemini) Custos Aproximados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Considerações Chave de Custo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Pequena/Média Empresa (Fase de Teste)</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 – $10.000 (custos de servidor, configuração de implantação)</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inicial, mas $100 – $500/mês para chamadas de API</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Infraestrutura:</w:t>
            </w:r>
            <w:r w:rsidDel="00000000" w:rsidR="00000000" w:rsidRPr="00000000">
              <w:rPr>
                <w:rtl w:val="0"/>
              </w:rPr>
              <w:t xml:space="preserve"> Aberto (CapEx inicial), Proprietário (OpEx via API).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Pequena/Média Empresa (Uso em Produção)</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$15.000 – $50.000 por ano (hospedagem em nuvem + manutenção)</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$50.000+ por ano (escalonamento do uso da API)</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Ajuste Fino:</w:t>
            </w:r>
            <w:r w:rsidDel="00000000" w:rsidR="00000000" w:rsidRPr="00000000">
              <w:rPr>
                <w:rtl w:val="0"/>
              </w:rPr>
              <w:t xml:space="preserve"> Aberto (recursos técnicos internos), Proprietário (soluções prontas, personalização limitada).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Empresa (IA Personalizada com Ajuste Fino)</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$100.000+ (GPUs, armazenamento, segurança, equipe de MLOps)</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$500.000+ por ano (planos de API Empresariais)</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Conformidade e Segurança:</w:t>
            </w:r>
            <w:r w:rsidDel="00000000" w:rsidR="00000000" w:rsidRPr="00000000">
              <w:rPr>
                <w:rtl w:val="0"/>
              </w:rPr>
              <w:t xml:space="preserve"> Aberto (implantação auto-hospedada, maior controle), Proprietário (conformidade integrada, mas menos transparência).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Empresa (Modelo Híbrido)</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$200.000+ (ajuste fino, hospedagem, integração)</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$1M+ por ano (taxas de API, suporte dedicado, conformidade)</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Bloqueio do Fornecedor:</w:t>
            </w:r>
            <w:r w:rsidDel="00000000" w:rsidR="00000000" w:rsidRPr="00000000">
              <w:rPr>
                <w:rtl w:val="0"/>
              </w:rPr>
              <w:t xml:space="preserve"> Aberto (baixo), Proprietário (alto).</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55" w:lineRule="auto"/>
        <w:rPr>
          <w:b w:val="1"/>
        </w:rPr>
      </w:pPr>
      <w:r w:rsidDel="00000000" w:rsidR="00000000" w:rsidRPr="00000000">
        <w:rPr>
          <w:b w:val="1"/>
          <w:rtl w:val="0"/>
        </w:rPr>
        <w:t xml:space="preserve">Tabela 2: Implicações de Licenciamento e Custo para Modelos de IA</w:t>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Referências citadas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Introducing Strands Agents, an Open Source AI Agents SDK | AWS ..., https://aws.amazon.com/blogs/opensource/introducing-strands-agents-an-open-source-ai-agents-sdk/ 2. Nvidia launches models to ease AI agent development | CIO Dive, https://www.ciodive.com/news/Nvidia-gtc-llama-nemotron-model-family-ai-agent-development/742994/ 3. What are LLM Agents? A Practical Guide - K2view, https://www.k2view.com/what-are-llm-agents/ 4. Complete Guide to LLM Agents (2025) - Botpress, https://botpress.com/blog/llm-agents 5. Open vs. closed: Navigating the critical LLM decision for enterprise AI | Nearform, https://nearform.com/digital-community/open-vs-closed-navigating-the-critical-llm-decision-for-enterprise-ai/ 6. What are Open Source and Open Weight Models? - Analytics Vidhya, https://www.analyticsvidhya.com/blog/2025/04/open-weight-models/ 7. Open Weights: not quite what you've been told - Open Source Initiative, https://opensource.org/ai/open-weights 8. AI For The Edge: Why Open-Weight Models Matter - Semiconductor Engineering, https://semiengineering.com/ai-for-the-edge-why-open-weight-models-matter/ 9. Choosing Between Open-Source LLM &amp; Proprietary AI Model, https://inclusioncloud.com/insights/blog/open-source-llm-vs-proprietary-models/ 10. Thoughts on Open Source &amp; AI Ethics - OpenCV, https://opencv.org/blog/thoughts-on-ai-ethics/ 11. The ethics of open and public AI: Balancing transparency and safety - Red Hat, https://www.redhat.com/en/blog/ethics-open-and-public-ai-balancing-transparency-and-safety 12. Open Source vs. Closed Source in Language Models: Pros and ..., https://www.dsstream.com/post/open-source-vs-closed-source-in-language-models-pros-and-cons 13. Licenses – Open Source Initiative, https://opensource.org/licenses 14. AI Licenses: What You Should Know for Your Applications - Viso Suite, https://viso.ai/deep-learning/ai-licenses/ 15. Large Language Model Use Cases: One LLM vs Multiple Models, https://hatchworks.com/blog/gen-ai/llm-use-cases-single-vs-multiple-models/ 16. Types of AI Commercial Licenses - LeyLine, https://leylinepro.com/blog/ai-commercial-license 17. LLM Use Cases - Confident AI, https://documentation.confident-ai.com/llm-use-cases 18. What is LLM Temperature? | IBM, https://www.ibm.com/think/topics/llm-temperature 19. LLM Settings | Prompt Engineering Guide, https://www.promptingguide.ai/introduction/settings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