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rFonts w:ascii="Arial" w:cs="Arial" w:eastAsia="Arial" w:hAnsi="Arial"/>
          <w:sz w:val="22"/>
          <w:szCs w:val="22"/>
        </w:rPr>
        <w:t xml:space="preserve"> </w:t>
      </w:r>
    </w:p>
    <w:p>
      <w:pPr>
        <w:spacing w:before="0" w:after="80"/>
        <w:jc w:val="center"/>
      </w:pPr>
      <w:r>
        <w:rPr>
          <w:rFonts w:ascii="Arial" w:cs="Arial" w:eastAsia="Arial" w:hAnsi="Arial"/>
          <w:b/>
          <w:bCs/>
          <w:color w:val="0891B2"/>
          <w:sz w:val="52"/>
          <w:szCs w:val="52"/>
        </w:rPr>
        <w:t xml:space="preserve">FLOWCORE</w:t>
      </w:r>
    </w:p>
    <w:p>
      <w:pPr>
        <w:spacing w:before="0" w:after="120"/>
        <w:jc w:val="center"/>
      </w:pPr>
      <w:r>
        <w:rPr>
          <w:rFonts w:ascii="Arial" w:cs="Arial" w:eastAsia="Arial" w:hAnsi="Arial"/>
          <w:b/>
          <w:bCs/>
          <w:color w:val="0D1B2A"/>
          <w:sz w:val="40"/>
          <w:szCs w:val="40"/>
        </w:rPr>
        <w:t xml:space="preserve">Vendor-Agnostic Logical Data Model</w:t>
      </w:r>
    </w:p>
    <w:p>
      <w:pPr>
        <w:spacing w:before="0" w:after="320"/>
        <w:jc w:val="center"/>
      </w:pPr>
      <w:r>
        <w:rPr>
          <w:rFonts w:ascii="Arial" w:cs="Arial" w:eastAsia="Arial" w:hAnsi="Arial"/>
          <w:b/>
          <w:bCs/>
          <w:color w:val="1E3A4C"/>
          <w:sz w:val="32"/>
          <w:szCs w:val="32"/>
        </w:rPr>
        <w:t xml:space="preserve">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91B2" w:sz="6"/>
              <w:left w:val="single" w:color="0891B2" w:sz="6"/>
              <w:bottom w:val="single" w:color="0891B2" w:sz="6"/>
              <w:right w:val="single" w:color="0891B2" w:sz="6"/>
            </w:tcBorders>
            <w:shd w:fill="E0F7FA" w:val="clear"/>
            <w:tcMar>
              <w:top w:type="dxa" w:w="200"/>
              <w:left w:type="dxa" w:w="360"/>
              <w:bottom w:type="dxa" w:w="200"/>
              <w:right w:type="dxa" w:w="360"/>
            </w:tcMar>
          </w:tcPr>
          <w:p>
            <w:pPr>
              <w:spacing w:before="0" w:after="60"/>
              <w:jc w:val="center"/>
            </w:pPr>
            <w:r>
              <w:rPr>
                <w:rFonts w:ascii="Arial" w:cs="Arial" w:eastAsia="Arial" w:hAnsi="Arial"/>
                <w:b/>
                <w:bCs/>
                <w:color w:val="0891B2"/>
                <w:sz w:val="22"/>
                <w:szCs w:val="22"/>
              </w:rPr>
              <w:t xml:space="preserve">Document Classification</w:t>
            </w:r>
          </w:p>
          <w:p>
            <w:pPr>
              <w:spacing w:before="20" w:after="20"/>
              <w:jc w:val="center"/>
            </w:pPr>
            <w:r>
              <w:rPr>
                <w:rFonts w:ascii="Arial" w:cs="Arial" w:eastAsia="Arial" w:hAnsi="Arial"/>
                <w:b/>
                <w:bCs/>
                <w:color w:val="1E3A4C"/>
                <w:sz w:val="21"/>
                <w:szCs w:val="21"/>
              </w:rPr>
              <w:t xml:space="preserve">Version: </w:t>
            </w:r>
            <w:r>
              <w:rPr>
                <w:rFonts w:ascii="Arial" w:cs="Arial" w:eastAsia="Arial" w:hAnsi="Arial"/>
                <w:color w:val="0D1B2A"/>
                <w:sz w:val="21"/>
                <w:szCs w:val="21"/>
              </w:rPr>
              <w:t xml:space="preserve">1.0</w:t>
            </w:r>
          </w:p>
          <w:p>
            <w:pPr>
              <w:spacing w:before="20" w:after="20"/>
              <w:jc w:val="center"/>
            </w:pPr>
            <w:r>
              <w:rPr>
                <w:rFonts w:ascii="Arial" w:cs="Arial" w:eastAsia="Arial" w:hAnsi="Arial"/>
                <w:b/>
                <w:bCs/>
                <w:color w:val="1E3A4C"/>
                <w:sz w:val="21"/>
                <w:szCs w:val="21"/>
              </w:rPr>
              <w:t xml:space="preserve">Status: </w:t>
            </w:r>
            <w:r>
              <w:rPr>
                <w:rFonts w:ascii="Arial" w:cs="Arial" w:eastAsia="Arial" w:hAnsi="Arial"/>
                <w:color w:val="0D1B2A"/>
                <w:sz w:val="21"/>
                <w:szCs w:val="21"/>
              </w:rPr>
              <w:t xml:space="preserve">Draft — For Review</w:t>
            </w:r>
          </w:p>
          <w:p>
            <w:pPr>
              <w:spacing w:before="20" w:after="20"/>
              <w:jc w:val="center"/>
            </w:pPr>
            <w:r>
              <w:rPr>
                <w:rFonts w:ascii="Arial" w:cs="Arial" w:eastAsia="Arial" w:hAnsi="Arial"/>
                <w:b/>
                <w:bCs/>
                <w:color w:val="1E3A4C"/>
                <w:sz w:val="21"/>
                <w:szCs w:val="21"/>
              </w:rPr>
              <w:t xml:space="preserve">Classification: </w:t>
            </w:r>
            <w:r>
              <w:rPr>
                <w:rFonts w:ascii="Arial" w:cs="Arial" w:eastAsia="Arial" w:hAnsi="Arial"/>
                <w:color w:val="0D1B2A"/>
                <w:sz w:val="21"/>
                <w:szCs w:val="21"/>
              </w:rPr>
              <w:t xml:space="preserve">Confidential</w:t>
            </w:r>
          </w:p>
          <w:p>
            <w:pPr>
              <w:spacing w:before="20" w:after="20"/>
              <w:jc w:val="center"/>
            </w:pPr>
            <w:r>
              <w:rPr>
                <w:rFonts w:ascii="Arial" w:cs="Arial" w:eastAsia="Arial" w:hAnsi="Arial"/>
                <w:b/>
                <w:bCs/>
                <w:color w:val="1E3A4C"/>
                <w:sz w:val="21"/>
                <w:szCs w:val="21"/>
              </w:rPr>
              <w:t xml:space="preserve">Platform: </w:t>
            </w:r>
            <w:r>
              <w:rPr>
                <w:rFonts w:ascii="Arial" w:cs="Arial" w:eastAsia="Arial" w:hAnsi="Arial"/>
                <w:color w:val="0D1B2A"/>
                <w:sz w:val="21"/>
                <w:szCs w:val="21"/>
              </w:rPr>
              <w:t xml:space="preserve">FlowCore AI-Native DC Monitoring</w:t>
            </w:r>
          </w:p>
          <w:p>
            <w:pPr>
              <w:spacing w:before="20" w:after="20"/>
              <w:jc w:val="center"/>
            </w:pPr>
            <w:r>
              <w:rPr>
                <w:rFonts w:ascii="Arial" w:cs="Arial" w:eastAsia="Arial" w:hAnsi="Arial"/>
                <w:b/>
                <w:bCs/>
                <w:color w:val="1E3A4C"/>
                <w:sz w:val="21"/>
                <w:szCs w:val="21"/>
              </w:rPr>
              <w:t xml:space="preserve">Author: </w:t>
            </w:r>
            <w:r>
              <w:rPr>
                <w:rFonts w:ascii="Arial" w:cs="Arial" w:eastAsia="Arial" w:hAnsi="Arial"/>
                <w:color w:val="0D1B2A"/>
                <w:sz w:val="21"/>
                <w:szCs w:val="21"/>
              </w:rPr>
              <w:t xml:space="preserve">Platform Architecture Team</w:t>
            </w:r>
          </w:p>
          <w:p>
            <w:pPr>
              <w:spacing w:before="20" w:after="20"/>
              <w:jc w:val="center"/>
            </w:pPr>
            <w:r>
              <w:rPr>
                <w:rFonts w:ascii="Arial" w:cs="Arial" w:eastAsia="Arial" w:hAnsi="Arial"/>
                <w:b/>
                <w:bCs/>
                <w:color w:val="1E3A4C"/>
                <w:sz w:val="21"/>
                <w:szCs w:val="21"/>
              </w:rPr>
              <w:t xml:space="preserve">Date: </w:t>
            </w:r>
            <w:r>
              <w:rPr>
                <w:rFonts w:ascii="Arial" w:cs="Arial" w:eastAsia="Arial" w:hAnsi="Arial"/>
                <w:color w:val="0D1B2A"/>
                <w:sz w:val="21"/>
                <w:szCs w:val="21"/>
              </w:rPr>
              <w:t xml:space="preserve">April 2026</w:t>
            </w:r>
          </w:p>
        </w:tc>
      </w:tr>
    </w:tbl>
    <w:p>
      <w:pPr>
        <w:spacing w:before="180" w:after="0"/>
      </w:pPr>
      <w:r>
        <w:rPr>
          <w:rFonts w:ascii="Arial" w:cs="Arial" w:eastAsia="Arial" w:hAnsi="Arial"/>
          <w:sz w:val="22"/>
          <w:szCs w:val="22"/>
        </w:rPr>
        <w:t xml:space="preserve"> </w:t>
      </w:r>
    </w:p>
    <w:p>
      <w:pPr>
        <w:jc w:val="center"/>
      </w:pPr>
      <w:r>
        <w:rPr>
          <w:rFonts w:ascii="Arial" w:cs="Arial" w:eastAsia="Arial" w:hAnsi="Arial"/>
          <w:i/>
          <w:iCs/>
          <w:color w:val="64748B"/>
          <w:sz w:val="19"/>
          <w:szCs w:val="19"/>
        </w:rPr>
        <w:t xml:space="preserve">AI-Native Data Center Monitoring Platform  |  Entity Model  ·  Source Mapping  ·  Pipelines  ·  ML Models</w:t>
      </w:r>
    </w:p>
    <w:p>
      <w:r>
        <w:br w:type="page"/>
      </w:r>
    </w:p>
    <w:p>
      <w:pPr>
        <w:pStyle w:val="Heading1"/>
        <w:spacing w:before="480" w:after="200"/>
      </w:pPr>
      <w:r>
        <w:rPr>
          <w:rFonts w:ascii="Arial" w:cs="Arial" w:eastAsia="Arial" w:hAnsi="Arial"/>
          <w:b/>
          <w:bCs/>
          <w:color w:val="0D1B2A"/>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before="480" w:after="200"/>
      </w:pPr>
      <w:bookmarkStart w:name="exec-summary" w:id="1"/>
      <w:r>
        <w:rPr>
          <w:rFonts w:ascii="Arial" w:cs="Arial" w:eastAsia="Arial" w:hAnsi="Arial"/>
          <w:b/>
          <w:bCs/>
          <w:color w:val="0D1B2A"/>
          <w:sz w:val="32"/>
          <w:szCs w:val="32"/>
        </w:rPr>
        <w:t xml:space="preserve">1. Executive Summary</w:t>
      </w:r>
      <w:bookmarkEnd w:id="1"/>
    </w:p>
    <w:p>
      <w:pPr>
        <w:spacing w:before="80" w:after="120"/>
      </w:pPr>
      <w:r>
        <w:rPr>
          <w:rFonts w:ascii="Arial" w:cs="Arial" w:eastAsia="Arial" w:hAnsi="Arial"/>
          <w:color w:val="000000"/>
          <w:sz w:val="22"/>
          <w:szCs w:val="22"/>
        </w:rPr>
        <w:t xml:space="preserve">FlowCore is an AI-native data center monitoring platform that replaces reactive NOC tooling with a continuously-updated Digital Twin and a suite of five specialized AI agents. This document describes the Vendor-Agnostic Logical Data Model that underpins the platform — a model specifically designed to accept infrastructure data from any DCIM system, telemetry source, or discovery protocol without requiring schema changes.</w:t>
      </w:r>
    </w:p>
    <w:p>
      <w:pPr>
        <w:spacing w:before="80" w:after="120"/>
      </w:pPr>
      <w:r>
        <w:rPr>
          <w:rFonts w:ascii="Arial" w:cs="Arial" w:eastAsia="Arial" w:hAnsi="Arial"/>
          <w:color w:val="000000"/>
          <w:sz w:val="22"/>
          <w:szCs w:val="22"/>
        </w:rPr>
        <w:t xml:space="preserve">The model was redesigned from an earlier telemetry-aggregation architecture to address five critical gaps identified in the previous design: hard-coded SNMP/Redfish field names as typed columns, a single DCIM source assumption that breaks multi-DCIM environments, a fixed three-level physical hierarchy, metric columns that require migration for every new source, and a free-text protocol string that breaks entity resolution across vendors.</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1.1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534AB7" w:val="clear"/>
          </w:tcPr>
          <w:p>
            <w:pPr>
              <w:spacing w:before="80" w:after="120"/>
            </w:pPr>
            <w:r>
              <w:rPr>
                <w:rFonts w:ascii="Arial" w:cs="Arial" w:eastAsia="Arial" w:hAnsi="Arial"/>
                <w:color w:val="000000"/>
                <w:sz w:val="22"/>
                <w:szCs w:val="22"/>
              </w:rPr>
              <w:t xml:space="preserve"> </w:t>
            </w:r>
          </w:p>
        </w:tc>
        <w:tc>
          <w:tcPr>
            <w:tcW w:type="dxa" w:w="9160"/>
            <w:tcBorders>
              <w:top w:val="none" w:color="FFFFFF" w:sz="0"/>
              <w:left w:val="none" w:color="FFFFFF" w:sz="0"/>
              <w:bottom w:val="none" w:color="FFFFFF" w:sz="0"/>
              <w:right w:val="single" w:color="534AB7" w:sz="4"/>
            </w:tcBorders>
            <w:shd w:fill="EEEDFE" w:val="clear"/>
            <w:tcMar>
              <w:top w:type="dxa" w:w="100"/>
              <w:left w:type="dxa" w:w="160"/>
              <w:bottom w:type="dxa" w:w="100"/>
              <w:right w:type="dxa" w:w="160"/>
            </w:tcMar>
          </w:tcPr>
          <w:p>
            <w:pPr>
              <w:spacing w:before="0" w:after="0"/>
            </w:pPr>
            <w:r>
              <w:rPr>
                <w:rFonts w:ascii="Arial" w:cs="Arial" w:eastAsia="Arial" w:hAnsi="Arial"/>
                <w:color w:val="1E3A4C"/>
                <w:sz w:val="21"/>
                <w:szCs w:val="21"/>
              </w:rPr>
              <w:t xml:space="preserve">INFRASTRUCTURE_ENTITY with entity_class discriminator replaces seven separate typed node tables. Any asset class — rack, device, PDU, feed, interface, sensor, or service — maps into the same table. Adding a new class requires a new enum value, not a new table.</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891B2" w:val="clear"/>
          </w:tcPr>
          <w:p>
            <w:pPr>
              <w:spacing w:before="80" w:after="120"/>
            </w:pPr>
            <w:r>
              <w:rPr>
                <w:rFonts w:ascii="Arial" w:cs="Arial" w:eastAsia="Arial" w:hAnsi="Arial"/>
                <w:color w:val="000000"/>
                <w:sz w:val="22"/>
                <w:szCs w:val="22"/>
              </w:rPr>
              <w:t xml:space="preserve"> </w:t>
            </w:r>
          </w:p>
        </w:tc>
        <w:tc>
          <w:tcPr>
            <w:tcW w:type="dxa" w:w="9160"/>
            <w:tcBorders>
              <w:top w:val="none" w:color="FFFFFF" w:sz="0"/>
              <w:left w:val="none" w:color="FFFFFF" w:sz="0"/>
              <w:bottom w:val="none" w:color="FFFFFF" w:sz="0"/>
              <w:right w:val="single" w:color="0891B2" w:sz="4"/>
            </w:tcBorders>
            <w:shd w:fill="E0F7FA" w:val="clear"/>
            <w:tcMar>
              <w:top w:type="dxa" w:w="100"/>
              <w:left w:type="dxa" w:w="160"/>
              <w:bottom w:type="dxa" w:w="100"/>
              <w:right w:type="dxa" w:w="160"/>
            </w:tcMar>
          </w:tcPr>
          <w:p>
            <w:pPr>
              <w:spacing w:before="0" w:after="0"/>
            </w:pPr>
            <w:r>
              <w:rPr>
                <w:rFonts w:ascii="Arial" w:cs="Arial" w:eastAsia="Arial" w:hAnsi="Arial"/>
                <w:color w:val="1E3A4C"/>
                <w:sz w:val="21"/>
                <w:szCs w:val="21"/>
              </w:rPr>
              <w:t xml:space="preserve">ENTITY_ATTRIBUTE (namespace + key + value) stores all vendor-specific properties as rows rather than columns. A nlyte asset tag, a Redfish chassis type, and a Sunbird cooling zone label all become ENTITY_ATTRIBUTE rows. Zero schema change for any new vendor field.</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pPr>
              <w:spacing w:before="80" w:after="120"/>
            </w:pPr>
            <w:r>
              <w:rPr>
                <w:rFonts w:ascii="Arial" w:cs="Arial" w:eastAsia="Arial" w:hAnsi="Arial"/>
                <w:color w:val="000000"/>
                <w:sz w:val="22"/>
                <w:szCs w:val="22"/>
              </w:rPr>
              <w:t xml:space="preserve"> </w:t>
            </w:r>
          </w:p>
        </w:tc>
        <w:tc>
          <w:tcPr>
            <w:tcW w:type="dxa" w:w="9160"/>
            <w:tcBorders>
              <w:top w:val="none" w:color="FFFFFF" w:sz="0"/>
              <w:left w:val="none" w:color="FFFFFF" w:sz="0"/>
              <w:bottom w:val="none" w:color="FFFFFF" w:sz="0"/>
              <w:right w:val="single" w:color="059669" w:sz="4"/>
            </w:tcBorders>
            <w:shd w:fill="ECFDF5" w:val="clear"/>
            <w:tcMar>
              <w:top w:type="dxa" w:w="100"/>
              <w:left w:type="dxa" w:w="160"/>
              <w:bottom w:type="dxa" w:w="100"/>
              <w:right w:type="dxa" w:w="160"/>
            </w:tcMar>
          </w:tcPr>
          <w:p>
            <w:pPr>
              <w:spacing w:before="0" w:after="0"/>
            </w:pPr>
            <w:r>
              <w:rPr>
                <w:rFonts w:ascii="Arial" w:cs="Arial" w:eastAsia="Arial" w:hAnsi="Arial"/>
                <w:color w:val="1E3A4C"/>
                <w:sz w:val="21"/>
                <w:szCs w:val="21"/>
              </w:rPr>
              <w:t xml:space="preserve">METRIC_CATALOGUE + METRIC_SOURCE_MAPPING normalise metrics from Prometheus, Zabbix, SNMP, InfluxDB, and any vendor REST API onto canonical metric names. Adding a new metric type requires two rows, not a migration.</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Pr>
          <w:p>
            <w:pPr>
              <w:spacing w:before="80" w:after="120"/>
            </w:pPr>
            <w:r>
              <w:rPr>
                <w:rFonts w:ascii="Arial" w:cs="Arial" w:eastAsia="Arial" w:hAnsi="Arial"/>
                <w:color w:val="000000"/>
                <w:sz w:val="22"/>
                <w:szCs w:val="22"/>
              </w:rPr>
              <w:t xml:space="preserve"> </w:t>
            </w:r>
          </w:p>
        </w:tc>
        <w:tc>
          <w:tcPr>
            <w:tcW w:type="dxa" w:w="9160"/>
            <w:tcBorders>
              <w:top w:val="none" w:color="FFFFFF" w:sz="0"/>
              <w:left w:val="none" w:color="FFFFFF" w:sz="0"/>
              <w:bottom w:val="none" w:color="FFFFFF" w:sz="0"/>
              <w:right w:val="single" w:color="D97706" w:sz="4"/>
            </w:tcBorders>
            <w:shd w:fill="FAEEDA" w:val="clear"/>
            <w:tcMar>
              <w:top w:type="dxa" w:w="100"/>
              <w:left w:type="dxa" w:w="160"/>
              <w:bottom w:type="dxa" w:w="100"/>
              <w:right w:type="dxa" w:w="160"/>
            </w:tcMar>
          </w:tcPr>
          <w:p>
            <w:pPr>
              <w:spacing w:before="0" w:after="0"/>
            </w:pPr>
            <w:r>
              <w:rPr>
                <w:rFonts w:ascii="Arial" w:cs="Arial" w:eastAsia="Arial" w:hAnsi="Arial"/>
                <w:color w:val="1E3A4C"/>
                <w:sz w:val="21"/>
                <w:szCs w:val="21"/>
              </w:rPr>
              <w:t xml:space="preserve">ENTITY_RESOLUTION_RULE stores tenant-configurable identity matching strategies. A customer whose DCIM exposes serial numbers uses EXACT_SERIAL. One that only exposes IP addresses uses IP_ADDRESS. No hard-coded OID logic.</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1.2 Scope</w:t>
      </w:r>
    </w:p>
    <w:p>
      <w:pPr>
        <w:spacing w:before="80" w:after="120"/>
      </w:pPr>
      <w:r>
        <w:rPr>
          <w:rFonts w:ascii="Arial" w:cs="Arial" w:eastAsia="Arial" w:hAnsi="Arial"/>
          <w:color w:val="000000"/>
          <w:sz w:val="22"/>
          <w:szCs w:val="22"/>
        </w:rPr>
        <w:t xml:space="preserve">This document covers all three delivery phases of the FlowCore platform:</w:t>
      </w:r>
    </w:p>
    <w:p>
      <w:pPr>
        <w:pStyle w:val="ListParagraph"/>
        <w:numPr>
          <w:ilvl w:val="0"/>
          <w:numId w:val="2"/>
        </w:numPr>
        <w:spacing w:before="40" w:after="40"/>
      </w:pPr>
      <w:r>
        <w:rPr>
          <w:rFonts w:ascii="Arial" w:cs="Arial" w:eastAsia="Arial" w:hAnsi="Arial"/>
          <w:color w:val="000000"/>
          <w:sz w:val="22"/>
          <w:szCs w:val="22"/>
        </w:rPr>
        <w:t xml:space="preserve">Phase 1 (M0–M6): Foundation — Digital Twin construction, topology reconciliation, device classification, and the NOC rack health view.</w:t>
      </w:r>
    </w:p>
    <w:p>
      <w:pPr>
        <w:pStyle w:val="ListParagraph"/>
        <w:numPr>
          <w:ilvl w:val="0"/>
          <w:numId w:val="2"/>
        </w:numPr>
        <w:spacing w:before="40" w:after="40"/>
      </w:pPr>
      <w:r>
        <w:rPr>
          <w:rFonts w:ascii="Arial" w:cs="Arial" w:eastAsia="Arial" w:hAnsi="Arial"/>
          <w:color w:val="000000"/>
          <w:sz w:val="22"/>
          <w:szCs w:val="22"/>
        </w:rPr>
        <w:t xml:space="preserve">Phase 2 (M6–M12): Intelligence — Alert correlation, root cause analysis, capacity forecasting, anomaly detection, and failure probability scoring.</w:t>
      </w:r>
    </w:p>
    <w:p>
      <w:pPr>
        <w:pStyle w:val="ListParagraph"/>
        <w:numPr>
          <w:ilvl w:val="0"/>
          <w:numId w:val="2"/>
        </w:numPr>
        <w:spacing w:before="40" w:after="40"/>
      </w:pPr>
      <w:r>
        <w:rPr>
          <w:rFonts w:ascii="Arial" w:cs="Arial" w:eastAsia="Arial" w:hAnsi="Arial"/>
          <w:color w:val="000000"/>
          <w:sz w:val="22"/>
          <w:szCs w:val="22"/>
        </w:rPr>
        <w:t xml:space="preserve">Phase 3 (M12–M18): Advanced Operations — What-if simulation, multi-step scenario chaining, and advanced change impact assessment.</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1.3 Document Structure</w:t>
      </w:r>
    </w:p>
    <w:p>
      <w:pPr>
        <w:spacing w:before="80" w:after="120"/>
      </w:pPr>
      <w:r>
        <w:rPr>
          <w:rFonts w:ascii="Arial" w:cs="Arial" w:eastAsia="Arial" w:hAnsi="Arial"/>
          <w:color w:val="000000"/>
          <w:sz w:val="22"/>
          <w:szCs w:val="22"/>
        </w:rPr>
        <w:t xml:space="preserve">This document is organized as follows: Section 2 describes the four-layer model architecture. Sections 3–6 detail each layer with entity definitions and attribute metadata. Section 7 provides source mapping examples showing how real vendor data maps to canonical entities. Section 8 covers all eleven data pipelines. Section 9 describes the ten ML models and their feature extraction. Section 10 addresses governance, security, and compliance. An appendix provides a complete attribute data dictionary.</w:t>
      </w:r>
    </w:p>
    <w:p>
      <w:r>
        <w:br w:type="page"/>
      </w:r>
    </w:p>
    <w:p>
      <w:pPr>
        <w:pStyle w:val="Heading1"/>
        <w:spacing w:before="480" w:after="200"/>
      </w:pPr>
      <w:bookmarkStart w:name="arch-overview" w:id="1"/>
      <w:r>
        <w:rPr>
          <w:rFonts w:ascii="Arial" w:cs="Arial" w:eastAsia="Arial" w:hAnsi="Arial"/>
          <w:b/>
          <w:bCs/>
          <w:color w:val="0D1B2A"/>
          <w:sz w:val="32"/>
          <w:szCs w:val="32"/>
        </w:rPr>
        <w:t xml:space="preserve">2. Architecture Overview</w:t>
      </w:r>
      <w:bookmarkEnd w:id="1"/>
    </w:p>
    <w:p>
      <w:pPr>
        <w:spacing w:before="80" w:after="120"/>
      </w:pPr>
      <w:r>
        <w:rPr>
          <w:rFonts w:ascii="Arial" w:cs="Arial" w:eastAsia="Arial" w:hAnsi="Arial"/>
          <w:color w:val="000000"/>
          <w:sz w:val="22"/>
          <w:szCs w:val="22"/>
        </w:rPr>
        <w:t xml:space="preserve">The FlowCore platform is built on a microservices architecture deployed on Kubernetes, with Apache Kafka as the central event backbone and Neo4j, TimescaleDB, and PostgreSQL as the core persistent stores. The logical data model is organized into four layers, each serving a distinct purpose and backed by the most appropriate storage technology.</w:t>
      </w:r>
    </w:p>
    <w:p>
      <w:pPr>
        <w:pStyle w:val="Heading2"/>
        <w:spacing w:before="320" w:after="160"/>
      </w:pPr>
      <w:r>
        <w:rPr>
          <w:rFonts w:ascii="Arial" w:cs="Arial" w:eastAsia="Arial" w:hAnsi="Arial"/>
          <w:b/>
          <w:bCs/>
          <w:color w:val="1E3A4C"/>
          <w:sz w:val="26"/>
          <w:szCs w:val="26"/>
        </w:rPr>
        <w:t xml:space="preserve">2.1 High-Level Architecture</w:t>
      </w:r>
    </w:p>
    <w:p>
      <w:pPr>
        <w:spacing w:before="80" w:after="120"/>
      </w:pPr>
      <w:r>
        <w:rPr>
          <w:rFonts w:ascii="Arial" w:cs="Arial" w:eastAsia="Arial" w:hAnsi="Arial"/>
          <w:color w:val="000000"/>
          <w:sz w:val="22"/>
          <w:szCs w:val="22"/>
        </w:rPr>
        <w:t xml:space="preserve">The platform follows a five-layer architecture as defined in the PRD. Data flows from heterogeneous sources through an ingestion layer, across Kafka, into persistent stores, and up through AI agents to the NOC interface.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000"/>
        <w:gridCol w:w="560"/>
      </w:tblGrid>
      <w:tr>
        <w:trPr>
          <w:tblHeader/>
        </w:trPr>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PRD Layer</w:t>
            </w:r>
          </w:p>
        </w:tc>
        <w:tc>
          <w:tcPr>
            <w:tcW w:type="dxa" w:w="3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Named Services</w:t>
            </w:r>
          </w:p>
        </w:tc>
        <w:tc>
          <w:tcPr>
            <w:tcW w:type="dxa" w:w="30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Technology</w:t>
            </w:r>
          </w:p>
        </w:tc>
        <w:tc>
          <w:tcPr>
            <w:tcW w:type="dxa" w:w="5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Data Ingestion</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dcim-ingestion-service, telemetry-gateway-service, active-discovery-service</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Apache Kafka, REST connectors, SNMP v2c/v3, Redfish HTTP</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Processing &amp; Storage</w:t>
            </w:r>
          </w:p>
        </w:tc>
        <w:tc>
          <w:tcPr>
            <w:tcW w:type="dxa" w:w="3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graph-updater-service, timeseries-writer-service, event-archive-service</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Neo4j Enterprise, TimescaleDB (PostgreSQL extension), S3-compatible object store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AI / ML Agents</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topology-reconciliation-agent, classification-capability-agent, correlation-root-cause-agent, prediction-capacity-agent, what-if-planning-agent</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Python + FastAPI, Scikit-learn, LightGBM, Prophet, MLflow</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1–3</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API / Control Plane</w:t>
            </w:r>
          </w:p>
        </w:tc>
        <w:tc>
          <w:tcPr>
            <w:tcW w:type="dxa" w:w="3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graph-api-service, insights-api-service, eventing-integration-service, api-gateway</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GraphQL (NestJS + Apollo), REST (NestJS), OAuth 2.0 / mTLS</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UI / NOC Experience</w:t>
            </w:r>
          </w:p>
        </w:tc>
        <w:tc>
          <w:tcPr>
            <w:tcW w:type="dxa" w:w="3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noc-frontend</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React + TypeScript, Cytoscape.js, D3.js, Apollo GraphQL client</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2.2 Four-Layer Logical Model</w:t>
      </w:r>
    </w:p>
    <w:p>
      <w:pPr>
        <w:spacing w:before="80" w:after="120"/>
      </w:pPr>
      <w:r>
        <w:rPr>
          <w:rFonts w:ascii="Arial" w:cs="Arial" w:eastAsia="Arial" w:hAnsi="Arial"/>
          <w:color w:val="000000"/>
          <w:sz w:val="22"/>
          <w:szCs w:val="22"/>
        </w:rPr>
        <w:t xml:space="preserve">The logical data model is structured into four layers that map directly onto the PRD's data architecture: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320"/>
        <w:gridCol w:w="2520"/>
      </w:tblGrid>
      <w:tr>
        <w:trPr>
          <w:tblHeader/>
        </w:trPr>
        <w:tc>
          <w:tcPr>
            <w:tcW w:type="dxa" w:w="72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18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Name</w:t>
            </w:r>
          </w:p>
        </w:tc>
        <w:tc>
          <w:tcPr>
            <w:tcW w:type="dxa" w:w="432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Entities</w:t>
            </w:r>
          </w:p>
        </w:tc>
        <w:tc>
          <w:tcPr>
            <w:tcW w:type="dxa" w:w="252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Storage</w:t>
            </w:r>
          </w:p>
        </w:tc>
      </w:tr>
      <w:tr>
        <w:tc>
          <w:tcPr>
            <w:tcW w:type="dxa" w:w="7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Layer 1</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Canonical Physical Registry</w:t>
            </w:r>
          </w:p>
        </w:tc>
        <w:tc>
          <w:tcPr>
            <w:tcW w:type="dxa" w:w="43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TENANT, SITE, DATA_CENTER, LOCATION, INFRASTRUCTURE_ENTITY, ENTITY_ATTRIBUTE, ENTITY_RELATIONSHIP, CAPACITY_SPEC</w:t>
            </w:r>
          </w:p>
        </w:tc>
        <w:tc>
          <w:tcPr>
            <w:tcW w:type="dxa" w:w="25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Neo4j (graph nodes + edges)</w:t>
            </w:r>
          </w:p>
        </w:tc>
      </w:tr>
      <w:tr>
        <w:tc>
          <w:tcPr>
            <w:tcW w:type="dxa" w:w="7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Layer 2</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Source Normalisation</w:t>
            </w:r>
          </w:p>
        </w:tc>
        <w:tc>
          <w:tcPr>
            <w:tcW w:type="dxa" w:w="43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SOURCE_SYSTEM, SOURCE_RECORD, FIELD_MAPPING, IDENTITY_SIGNAL, ENTITY_RESOLUTION_RULE, SYNC_LOG, DEAD_LETTER_RECORD, KAFKA_TOPIC</w:t>
            </w:r>
          </w:p>
        </w:tc>
        <w:tc>
          <w:tcPr>
            <w:tcW w:type="dxa" w:w="25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PostgreSQL (relational)</w:t>
            </w:r>
          </w:p>
        </w:tc>
      </w:tr>
      <w:tr>
        <w:tc>
          <w:tcPr>
            <w:tcW w:type="dxa" w:w="7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Layer 3</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Telemetry &amp; Live State</w:t>
            </w:r>
          </w:p>
        </w:tc>
        <w:tc>
          <w:tcPr>
            <w:tcW w:type="dxa" w:w="43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METRIC_CATALOGUE, METRIC_SOURCE_MAPPING, METRIC_DATAPOINT, METRIC_ROLLUP, METRIC_BASELINE, ALERT_CATALOGUE, ALERT_SOURCE_MAPPING, ALERT_EVENT, GRAPH_MUTATION_LOG, STALE_TELEMETRY_EVENT</w:t>
            </w:r>
          </w:p>
        </w:tc>
        <w:tc>
          <w:tcPr>
            <w:tcW w:type="dxa" w:w="252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TimescaleDB (hypertables) + S3</w:t>
            </w:r>
          </w:p>
        </w:tc>
      </w:tr>
      <w:tr>
        <w:tc>
          <w:tcPr>
            <w:tcW w:type="dxa" w:w="7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Layer 4</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Agent Outputs &amp; Operations</w:t>
            </w:r>
          </w:p>
        </w:tc>
        <w:tc>
          <w:tcPr>
            <w:tcW w:type="dxa" w:w="43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DRIFT_EVENT, DRIFT_SUGGESTION, CLASSIFICATION_RESULT, CORRELATED_INCIDENT, CAPACITY_FORECAST, ANOMALY_FLAG, FAILURE_PROBABILITY, SIMULATION_SCENARIO, SIMULATION_RESULT, NODE_QUALITY_SCORE, USER, AUDIT_LOG_ENTRY, ITSM_INTEGRATION_CONFIG</w:t>
            </w:r>
          </w:p>
        </w:tc>
        <w:tc>
          <w:tcPr>
            <w:tcW w:type="dxa" w:w="252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PostgreSQL + Neo4j proposed namespace</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2.3 Kafka Topic Registry</w:t>
      </w:r>
    </w:p>
    <w:p>
      <w:pPr>
        <w:spacing w:before="80" w:after="120"/>
      </w:pPr>
      <w:r>
        <w:rPr>
          <w:rFonts w:ascii="Arial" w:cs="Arial" w:eastAsia="Arial" w:hAnsi="Arial"/>
          <w:color w:val="000000"/>
          <w:sz w:val="22"/>
          <w:szCs w:val="22"/>
        </w:rPr>
        <w:t xml:space="preserve">All inter-service data-path communication flows through named Kafka topics. The following are the twelve authoritative Phase 1 topics as defined in the PRD (Section 6.2):</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100"/>
        <w:gridCol w:w="560"/>
      </w:tblGrid>
      <w:tr>
        <w:trPr>
          <w:tblHeader/>
        </w:trPr>
        <w:tc>
          <w:tcPr>
            <w:tcW w:type="dxa" w:w="28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Topic</w:t>
            </w:r>
          </w:p>
        </w:tc>
        <w:tc>
          <w:tcPr>
            <w:tcW w:type="dxa" w:w="2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Producer</w:t>
            </w:r>
          </w:p>
        </w:tc>
        <w:tc>
          <w:tcPr>
            <w:tcW w:type="dxa" w:w="31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Consumer(s)</w:t>
            </w:r>
          </w:p>
        </w:tc>
        <w:tc>
          <w:tcPr>
            <w:tcW w:type="dxa" w:w="5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dcim.config.raw</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dcim-ingestion-service</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event-archive-service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dcim.config.normalized</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dcim-ingestion-service</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topology-reconciliation-agent</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metrics.timeseries.raw</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telemetry-gateway-service</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timeseries-writer-service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alerts.raw</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telemetry-gateway-service</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(Phase 1 alert count only), correlation-root-cause-agent (Phase 2)</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events.raw</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telemetry-gateway-service</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event-archive-service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discovery.snmp.results</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active-discovery-service</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topology-reconciliation-agent, classification-capability-agent</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discovery.bmc.results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active-discovery-service</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classification-capability-agent</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graph.mutations</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graph-updater-service</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topology-reconciliation-agent, event-archive-service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drift.events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topology-reconciliation-agent</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eventing-integration-service, insights-api-service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drift.suggestions</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topology-reconciliation-agent</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insights-api-service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classification.results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classification-capability-agent</w:t>
            </w:r>
          </w:p>
        </w:tc>
        <w:tc>
          <w:tcPr>
            <w:tcW w:type="dxa" w:w="3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graph-updater-service, insights-api-service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incidents.correlated</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correlation-root-cause-agent</w:t>
            </w:r>
          </w:p>
        </w:tc>
        <w:tc>
          <w:tcPr>
            <w:tcW w:type="dxa" w:w="31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eventing-integration-service, insights-api-service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r>
    </w:tbl>
    <w:p>
      <w:r>
        <w:br w:type="page"/>
      </w:r>
    </w:p>
    <w:p>
      <w:pPr>
        <w:pStyle w:val="Heading1"/>
        <w:spacing w:before="480" w:after="200"/>
      </w:pPr>
      <w:bookmarkStart w:name="layer1" w:id="1"/>
      <w:r>
        <w:rPr>
          <w:rFonts w:ascii="Arial" w:cs="Arial" w:eastAsia="Arial" w:hAnsi="Arial"/>
          <w:b/>
          <w:bCs/>
          <w:color w:val="0D1B2A"/>
          <w:sz w:val="32"/>
          <w:szCs w:val="32"/>
        </w:rPr>
        <w:t xml:space="preserve">3. Layer 1 — Canonical Physical Registry</w:t>
      </w:r>
      <w:bookmarkEnd w:id="1"/>
    </w:p>
    <w:p>
      <w:pPr>
        <w:spacing w:before="80" w:after="120"/>
      </w:pPr>
      <w:r>
        <w:rPr>
          <w:rFonts w:ascii="Arial" w:cs="Arial" w:eastAsia="Arial" w:hAnsi="Arial"/>
          <w:color w:val="000000"/>
          <w:sz w:val="22"/>
          <w:szCs w:val="22"/>
        </w:rPr>
        <w:t xml:space="preserve">Layer 1 forms the master catalog of all physical and logical infrastructure assets. It is stored in Neo4j as graph nodes and edges, enabling the topology traversal and dependency analysis required by all five AI agents. Unlike traditional relational asset tables, the graph representation means that adding a new entity type or relationship type requires no schema migration — new node labels and edge types are simply declared.</w:t>
      </w:r>
    </w:p>
    <w:p>
      <w:pPr>
        <w:spacing w:before="80" w:after="120"/>
      </w:pPr>
      <w:r>
        <w:rPr>
          <w:rFonts w:ascii="Arial" w:cs="Arial" w:eastAsia="Arial" w:hAnsi="Arial"/>
          <w:color w:val="000000"/>
          <w:sz w:val="22"/>
          <w:szCs w:val="22"/>
        </w:rPr>
        <w:t xml:space="preserve">The fundamental design principle of Layer 1 is source-agnosticism: no entity in this layer contains any vendor-specific field names. All vendor-specific attributes are captured in ENTITY_ATTRIBUTE using a namespace + key + value pattern. This means a deployment using nlyte, one using Sunbird, and one using a proprietary DCIM can all populate the same canonical entity structure.</w:t>
      </w:r>
    </w:p>
    <w:p>
      <w:pPr>
        <w:pStyle w:val="Heading2"/>
        <w:spacing w:before="320" w:after="160"/>
      </w:pPr>
      <w:bookmarkStart w:name="erd1" w:id="1"/>
      <w:r>
        <w:rPr>
          <w:rFonts w:ascii="Arial" w:cs="Arial" w:eastAsia="Arial" w:hAnsi="Arial"/>
          <w:b/>
          <w:bCs/>
          <w:color w:val="1E3A4C"/>
          <w:sz w:val="26"/>
          <w:szCs w:val="26"/>
        </w:rPr>
        <w:t xml:space="preserve">3.1 ERD 1 — Canonical Physical Registry</w:t>
      </w:r>
      <w:bookmarkEnd w:id="1"/>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534AB7" w:sz="8"/>
              <w:left w:val="single" w:color="534AB7" w:sz="8"/>
              <w:bottom w:val="single" w:color="534AB7" w:sz="8"/>
              <w:right w:val="single" w:color="534AB7" w:sz="8"/>
            </w:tcBorders>
            <w:shd w:fill="534AB7" w:val="clear"/>
            <w:tcMar>
              <w:top w:type="dxa" w:w="120"/>
              <w:left w:type="dxa" w:w="180"/>
              <w:bottom w:type="dxa" w:w="120"/>
              <w:right w:type="dxa" w:w="180"/>
            </w:tcMar>
          </w:tcPr>
          <w:p>
            <w:pPr>
              <w:spacing w:before="0" w:after="40"/>
            </w:pPr>
            <w:r>
              <w:rPr>
                <w:rFonts w:ascii="Arial" w:cs="Arial" w:eastAsia="Arial" w:hAnsi="Arial"/>
                <w:b/>
                <w:bCs/>
                <w:color w:val="FFFFFF"/>
                <w:sz w:val="24"/>
                <w:szCs w:val="24"/>
              </w:rPr>
              <w:t xml:space="preserve">ERD 1 — Canonical Physical Registry</w:t>
            </w:r>
          </w:p>
          <w:p>
            <w:pPr>
              <w:spacing w:before="0" w:after="0"/>
            </w:pPr>
            <w:r>
              <w:rPr>
                <w:rFonts w:ascii="Arial" w:cs="Arial" w:eastAsia="Arial" w:hAnsi="Arial"/>
                <w:color w:val="D0F0F8"/>
                <w:sz w:val="18"/>
                <w:szCs w:val="18"/>
              </w:rPr>
              <w:t xml:space="preserve">Layer 1 entities stored as Neo4j graph nodes with typed relationships as graph edges</w:t>
            </w:r>
          </w:p>
        </w:tc>
      </w:tr>
      <w:tr>
        <w:tc>
          <w:tcPr>
            <w:gridSpan w:val="2"/>
            <w:tcBorders>
              <w:top w:val="none" w:color="FFFFFF" w:sz="0"/>
              <w:left w:val="single" w:color="534AB7" w:sz="8"/>
              <w:bottom w:val="single" w:color="534AB7" w:sz="4"/>
              <w:right w:val="single" w:color="534AB7" w:sz="8"/>
            </w:tcBorders>
            <w:shd w:fill="EEEDFE" w:val="clear"/>
            <w:tcMar>
              <w:top w:type="dxa" w:w="80"/>
              <w:left w:type="dxa" w:w="180"/>
              <w:bottom w:type="dxa" w:w="80"/>
              <w:right w:type="dxa" w:w="180"/>
            </w:tcMar>
          </w:tcPr>
          <w:p>
            <w:pPr>
              <w:spacing w:before="80" w:after="120"/>
            </w:pPr>
            <w:r>
              <w:rPr>
                <w:rFonts w:ascii="Arial" w:cs="Arial" w:eastAsia="Arial" w:hAnsi="Arial"/>
                <w:b/>
                <w:bCs/>
                <w:color w:val="1E3A4C"/>
                <w:sz w:val="20"/>
                <w:szCs w:val="20"/>
              </w:rPr>
              <w:t xml:space="preserve">Layer: </w:t>
            </w:r>
            <w:r>
              <w:rPr>
                <w:rFonts w:ascii="Arial" w:cs="Arial" w:eastAsia="Arial" w:hAnsi="Arial"/>
                <w:color w:val="534AB7"/>
                <w:sz w:val="20"/>
                <w:szCs w:val="20"/>
              </w:rPr>
              <w:t xml:space="preserve">Layer 1 · Neo4j Knowledge Graph</w:t>
            </w:r>
            <w:r>
              <w:rPr>
                <w:rFonts w:ascii="Arial" w:cs="Arial" w:eastAsia="Arial" w:hAnsi="Arial"/>
                <w:color w:val="1E3A4C"/>
                <w:sz w:val="20"/>
                <w:szCs w:val="20"/>
              </w:rPr>
              <w:t xml:space="preserve">  |  Interactive HTML: </w:t>
            </w:r>
            <w:hyperlink w:history="1" r:id="rId8dzumhyva_l13ryuvyk67">
              <w:r>
                <w:rPr>
                  <w:rFonts w:ascii="Arial" w:cs="Arial" w:eastAsia="Arial" w:hAnsi="Arial"/>
                  <w:color w:val="0891B2"/>
                  <w:sz w:val="20"/>
                  <w:szCs w:val="20"/>
                  <w:u w:val="single" w:color="0891B2"/>
                </w:rPr>
                <w:t xml:space="preserve">erd1_physical_registry.html</w:t>
              </w:r>
            </w:hyperlink>
          </w:p>
        </w:tc>
      </w:tr>
      <w:tr>
        <w:tc>
          <w:tcPr>
            <w:tcW w:type="dxa" w:w="4680"/>
            <w:tcBorders>
              <w:top w:val="none" w:color="FFFFFF" w:sz="0"/>
              <w:left w:val="single" w:color="534AB7" w:sz="8"/>
              <w:bottom w:val="single" w:color="E2E8F0" w:sz="2"/>
              <w:right w:val="single" w:color="E2E8F0" w:sz="2"/>
            </w:tcBorders>
            <w:shd w:fill="EEEDFE"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TENANT</w:t>
            </w:r>
          </w:p>
        </w:tc>
        <w:tc>
          <w:tcPr>
            <w:tcW w:type="dxa" w:w="4680"/>
            <w:tcBorders>
              <w:top w:val="none" w:color="FFFFFF" w:sz="0"/>
              <w:left w:val="single" w:color="E2E8F0" w:sz="2"/>
              <w:bottom w:val="single" w:color="E2E8F0" w:sz="2"/>
              <w:right w:val="single" w:color="534AB7" w:sz="8"/>
            </w:tcBorders>
            <w:shd w:fill="EEEDFE"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SITE</w:t>
            </w:r>
          </w:p>
        </w:tc>
      </w:tr>
      <w:tr>
        <w:tc>
          <w:tcPr>
            <w:tcW w:type="dxa" w:w="4680"/>
            <w:tcBorders>
              <w:top w:val="none" w:color="FFFFFF" w:sz="0"/>
              <w:left w:val="single" w:color="534AB7"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DATA_CENTER</w:t>
            </w:r>
          </w:p>
        </w:tc>
        <w:tc>
          <w:tcPr>
            <w:tcW w:type="dxa" w:w="4680"/>
            <w:tcBorders>
              <w:top w:val="none" w:color="FFFFFF" w:sz="0"/>
              <w:left w:val="single" w:color="E2E8F0" w:sz="2"/>
              <w:bottom w:val="single" w:color="E2E8F0" w:sz="2"/>
              <w:right w:val="single" w:color="534AB7"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LOCATION</w:t>
            </w:r>
          </w:p>
        </w:tc>
      </w:tr>
      <w:tr>
        <w:tc>
          <w:tcPr>
            <w:tcW w:type="dxa" w:w="4680"/>
            <w:tcBorders>
              <w:top w:val="none" w:color="FFFFFF" w:sz="0"/>
              <w:left w:val="single" w:color="534AB7" w:sz="8"/>
              <w:bottom w:val="single" w:color="E2E8F0" w:sz="2"/>
              <w:right w:val="single" w:color="E2E8F0" w:sz="2"/>
            </w:tcBorders>
            <w:shd w:fill="EEEDFE"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INFRASTRUCTURE_ENTITY</w:t>
            </w:r>
          </w:p>
        </w:tc>
        <w:tc>
          <w:tcPr>
            <w:tcW w:type="dxa" w:w="4680"/>
            <w:tcBorders>
              <w:top w:val="none" w:color="FFFFFF" w:sz="0"/>
              <w:left w:val="single" w:color="E2E8F0" w:sz="2"/>
              <w:bottom w:val="single" w:color="E2E8F0" w:sz="2"/>
              <w:right w:val="single" w:color="534AB7" w:sz="8"/>
            </w:tcBorders>
            <w:shd w:fill="EEEDFE"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ENTITY_ATTRIBUTE</w:t>
            </w:r>
          </w:p>
        </w:tc>
      </w:tr>
      <w:tr>
        <w:tc>
          <w:tcPr>
            <w:tcW w:type="dxa" w:w="4680"/>
            <w:tcBorders>
              <w:top w:val="none" w:color="FFFFFF" w:sz="0"/>
              <w:left w:val="single" w:color="534AB7"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ENTITY_RELATIONSHIP</w:t>
            </w:r>
          </w:p>
        </w:tc>
        <w:tc>
          <w:tcPr>
            <w:tcW w:type="dxa" w:w="4680"/>
            <w:tcBorders>
              <w:top w:val="none" w:color="FFFFFF" w:sz="0"/>
              <w:left w:val="single" w:color="E2E8F0" w:sz="2"/>
              <w:bottom w:val="single" w:color="E2E8F0" w:sz="2"/>
              <w:right w:val="single" w:color="534AB7"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CAPACITY_SPEC</w:t>
            </w:r>
          </w:p>
        </w:tc>
      </w:tr>
      <w:tr>
        <w:tc>
          <w:tcPr>
            <w:gridSpan w:val="2"/>
            <w:tcBorders>
              <w:top w:val="single" w:color="E2E8F0" w:sz="2"/>
              <w:left w:val="single" w:color="534AB7" w:sz="8"/>
              <w:bottom w:val="single" w:color="534AB7" w:sz="8"/>
              <w:right w:val="single" w:color="534AB7" w:sz="8"/>
            </w:tcBorders>
            <w:shd w:fill="F1F5F9" w:val="clear"/>
            <w:tcMar>
              <w:top w:type="dxa" w:w="100"/>
              <w:left w:type="dxa" w:w="180"/>
              <w:bottom w:type="dxa" w:w="100"/>
              <w:right w:type="dxa" w:w="180"/>
            </w:tcMar>
          </w:tcPr>
          <w:p>
            <w:pPr>
              <w:spacing w:before="0" w:after="0"/>
            </w:pPr>
            <w:r>
              <w:rPr>
                <w:rFonts w:ascii="Arial" w:cs="Arial" w:eastAsia="Arial" w:hAnsi="Arial"/>
                <w:b/>
                <w:bCs/>
                <w:color w:val="D97706"/>
                <w:sz w:val="19"/>
                <w:szCs w:val="19"/>
              </w:rPr>
              <w:t xml:space="preserve">⚡ Interactive version: </w:t>
            </w:r>
            <w:r>
              <w:rPr>
                <w:rFonts w:ascii="Arial" w:cs="Arial" w:eastAsia="Arial" w:hAnsi="Arial"/>
                <w:color w:val="1E3A4C"/>
                <w:sz w:val="19"/>
                <w:szCs w:val="19"/>
              </w:rPr>
              <w:t xml:space="preserve">Open erd1_physical_registry.html in any browser for fully zoomable, pannable ERD with scroll-to-zoom and drag-to-pan. </w:t>
            </w:r>
            <w:r>
              <w:rPr>
                <w:rFonts w:ascii="Arial" w:cs="Arial" w:eastAsia="Arial" w:hAnsi="Arial"/>
                <w:color w:val="1E3A4C"/>
                <w:sz w:val="19"/>
                <w:szCs w:val="19"/>
              </w:rPr>
              <w:t xml:space="preserve">The HTML file is included in the companion zip alongside this document.</w:t>
            </w:r>
          </w:p>
        </w:tc>
      </w:tr>
    </w:tbl>
    <w:p>
      <w:pPr>
        <w:spacing w:before="80" w:after="200"/>
        <w:jc w:val="center"/>
      </w:pPr>
      <w:r>
        <w:rPr>
          <w:rFonts w:ascii="Arial" w:cs="Arial" w:eastAsia="Arial" w:hAnsi="Arial"/>
          <w:i/>
          <w:iCs/>
          <w:color w:val="64748B"/>
          <w:sz w:val="18"/>
          <w:szCs w:val="18"/>
        </w:rPr>
        <w:t xml:space="preserve">Figure 1: Canonical Physical Registry ERD. Open erd1_physical_registry.html for interactive zoom/pan.</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3.2 Entity Definitions</w:t>
      </w:r>
    </w:p>
    <w:p>
      <w:pPr>
        <w:pStyle w:val="Heading3"/>
        <w:spacing w:before="240" w:after="120"/>
      </w:pPr>
      <w:r>
        <w:rPr>
          <w:rFonts w:ascii="Arial" w:cs="Arial" w:eastAsia="Arial" w:hAnsi="Arial"/>
          <w:b/>
          <w:bCs/>
          <w:color w:val="0891B2"/>
          <w:sz w:val="22"/>
          <w:szCs w:val="22"/>
        </w:rPr>
        <w:t xml:space="preserve">3.2.1 TENANT</w:t>
      </w:r>
    </w:p>
    <w:p>
      <w:pPr>
        <w:spacing w:before="80" w:after="120"/>
      </w:pPr>
      <w:r>
        <w:rPr>
          <w:rFonts w:ascii="Arial" w:cs="Arial" w:eastAsia="Arial" w:hAnsi="Arial"/>
          <w:color w:val="000000"/>
          <w:sz w:val="22"/>
          <w:szCs w:val="22"/>
        </w:rPr>
        <w:t xml:space="preserve">The root entity for multi-tenant isolation. Every entity in the system carries a tenant_id foreign key, and Neo4j graph partitions are isolated by tenant. This implements the NFR-13 and SEC-03 requirements for strict multi-tenant data separation, enforced at both the graph partition level and the API gateway level.</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the tenant. Used as the Neo4j graph partition key.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name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Full legal or display name of the tenant organisation.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slug</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 UNIQUE</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URL-safe short identifier used in API paths and Kafka topic namespacing.</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plan_tier</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Subscription tier: STARTER, PROFESSIONAL, ENTERPRISE. Controls feature access and rate limits.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neo4j_partition_key</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 UNIQUE</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Neo4j database or label partition key used to enforce graph-level data isolation.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Lifecycle status: ACTIVE, SUSPENDED, TRIAL, OFFBOARDED.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tenant provisioning.</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3.2.2 SITE</w:t>
      </w:r>
    </w:p>
    <w:p>
      <w:pPr>
        <w:spacing w:before="80" w:after="120"/>
      </w:pPr>
      <w:r>
        <w:rPr>
          <w:rFonts w:ascii="Arial" w:cs="Arial" w:eastAsia="Arial" w:hAnsi="Arial"/>
          <w:color w:val="000000"/>
          <w:sz w:val="22"/>
          <w:szCs w:val="22"/>
        </w:rPr>
        <w:t xml:space="preserve">Represents a geographic location that may contain one or more data center buildings. SITE is the anchor for multi-site topology, enabling edge collector agents (COLLECTION_AGENT) to be deployed per site and for data to be tagged with geographic context from the moment of ingestion.</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site_id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canonical identifier for the site.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 Enforces partition isolation.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Source-agnostic display name. May differ from DCIM's site name field.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country_code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ISO 3166-1</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Two-letter country code for geographic routing and compliance reporting.</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city</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City of the site for display and alerting context.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timezone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VARCHAR(50)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IANA</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IANA timezone string (e.g. Europe/Rome) for NTP-correct timestamp display.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ACTIVE, DECOMMISSIONING, PLANNED.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last-update timestamp. Updated on every DCIM sync.</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3.2.3 DATA_CENTER</w:t>
      </w:r>
    </w:p>
    <w:p>
      <w:pPr>
        <w:spacing w:before="80" w:after="120"/>
      </w:pPr>
      <w:r>
        <w:rPr>
          <w:rFonts w:ascii="Arial" w:cs="Arial" w:eastAsia="Arial" w:hAnsi="Arial"/>
          <w:color w:val="000000"/>
          <w:sz w:val="22"/>
          <w:szCs w:val="22"/>
        </w:rPr>
        <w:t xml:space="preserve">A physical data center building within a site. Holds the high-level capacity and classification metadata needed for facility-level aggregations — PUE computation, total power tracking, and capacity exhaustion forecasting by the Prediction &amp; Capacity Agent.</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dc_id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canonical identifier for the data center.</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site_id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SITE</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Parent site.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 for partition enforcement.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canonical_name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Source-agnostic name (e.g. 'CRESCO 6 HPC Cluster').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total_power_kw</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Total contracted or installed power capacity in kilowatts. Populated from DCIM.</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floor_area_m2</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Usable floor area in square metres for space capacity calculations.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tier_classification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Uptime Institute tier (I, II, III, IV) or equivalent. Free-form to support proprietary schemes.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OPERATIONAL, CONSTRUCTION, DECOMMISSIONING, PLANNED.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last-update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3.2.4 LOCATION</w:t>
      </w:r>
    </w:p>
    <w:p>
      <w:pPr>
        <w:spacing w:before="80" w:after="120"/>
      </w:pPr>
      <w:r>
        <w:rPr>
          <w:rFonts w:ascii="Arial" w:cs="Arial" w:eastAsia="Arial" w:hAnsi="Arial"/>
          <w:color w:val="000000"/>
          <w:sz w:val="22"/>
          <w:szCs w:val="22"/>
        </w:rPr>
        <w:t xml:space="preserve">A self-referencing tree that models any physical organisational hierarchy within a data center. This replaces the fixed ROOM → ROW → RACK structure from the previous model. The depth_level and location_type fields together describe the node's position in the hierarchy, allowing colocation providers (cage-level), hyperscalers (pod-level), and traditional data centers (room/aisle/row-level) to all use the same structure.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location_id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canonical identifier for this location node.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dc_id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DATA_CENTER</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data center.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location_type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Type: FLOOR, ROOM, AISLE, ROW, ZONE, CAGE, POD, CORRIDOR. Extensible.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label (e.g. 'Server Hall A', 'Cold Aisle 3', 'Cage C-04').</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parent_location_id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Self-FK</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Parent location node. NULL for top-level locations directly under a DATA_CENTER.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depth_level</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Depth in the tree: 0 = top-level under DC, 1 = one level down, etc. Used for hierarchy queries.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spatial_attributes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Vendor-specific spatial data: X/Y grid coordinates, GPS coordinates, custom zone codes. No canonical schema imposed.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last-update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3.2.5 INFRASTRUCTURE_ENTITY</w:t>
      </w:r>
    </w:p>
    <w:p>
      <w:pPr>
        <w:spacing w:before="80" w:after="120"/>
      </w:pPr>
      <w:r>
        <w:rPr>
          <w:rFonts w:ascii="Arial" w:cs="Arial" w:eastAsia="Arial" w:hAnsi="Arial"/>
          <w:color w:val="000000"/>
          <w:sz w:val="22"/>
          <w:szCs w:val="22"/>
        </w:rPr>
        <w:t xml:space="preserve">The universal asset record — the most important entity in the entire model. Every physical and logical asset in the data center maps into this single table, differentiated by the entity_class discriminator. This design eliminates the need for separate RACK_NODE, DEVICE_NODE, PDU_NODE, FEED_NODE, INTERFACE_NODE, SENSOR_NODE, and SERVICE_NODE tables that would require vendor-specific typed columns.</w:t>
      </w:r>
    </w:p>
    <w:p>
      <w:pPr>
        <w:spacing w:before="80" w:after="120"/>
      </w:pPr>
      <w:r>
        <w:rPr>
          <w:rFonts w:ascii="Arial" w:cs="Arial" w:eastAsia="Arial" w:hAnsi="Arial"/>
          <w:color w:val="000000"/>
          <w:sz w:val="22"/>
          <w:szCs w:val="22"/>
        </w:rPr>
        <w:t xml:space="preserve">The entity carries both static configuration properties (from DCIM sync) and live dynamic state properties (updated from telemetry within 60 seconds per NFR-03). This dual-property model is what makes the graph a true Digital Twin rather than just an asset inventory.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unique identifier, stable across source changes. Generated on first resolution.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 for partition enforcement.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location_id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LOCATION</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Physical location in the LOCATION tree.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 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RACK | DEVICE | PDU | FEED | INTERFACE | SENSOR | SERVICE. Extensible without schema change.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Source-agnostic display name. Computed from source data via FIELD_MAPPING rules.</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Refined type within the class (e.g. CRAC within SENSOR, ToR-Switch within DEVICE).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operational_status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ONLINE | OFFLINE | DEGRADED | MAINTENANCE | UNKNOWN. Updated from telemetry.</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health_score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Composite health score computed by graph-updater-service. Updated within 60s lag (NFR-03).</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active_alert_count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Count of currently ACTIVE alerts on this entity. Live state updated from alerts.raw.</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criticality_level</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P1 | P2 | P3 | P4. Normalised from any DCIM criticality classification scheme.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redundancy_posture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 | N+1 | 2N | 2N+1. Normalised from DCIM. Used by what-if simulation agent.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data_quality_score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Composite of completeness_score and freshness_score from NODE_QUALITY_SCORE. Surfaced in Drift &amp; Hygiene Dashboard.</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last_seen_at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of most recent telemetry reading. Used to detect stale entities (DQ-03).</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stale_since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Set when silence duration exceeds configurable threshold. Cleared on next reading.</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first resolution into canonical identity.</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last property update.</w:t>
            </w:r>
          </w:p>
        </w:tc>
      </w:tr>
    </w:tbl>
    <w:p>
      <w:pPr>
        <w:spacing w:before="60" w:after="0"/>
      </w:pPr>
      <w:r>
        <w:rPr>
          <w:rFonts w:ascii="Arial" w:cs="Arial" w:eastAsia="Arial" w:hAnsi="Arial"/>
          <w:sz w:val="22"/>
          <w:szCs w:val="22"/>
        </w:rPr>
        <w:t xml:space="preserve"> </w:t>
      </w:r>
    </w:p>
    <w:p>
      <w:pPr>
        <w:spacing w:before="180" w:after="100"/>
      </w:pPr>
      <w:r>
        <w:rPr>
          <w:rFonts w:ascii="Arial" w:cs="Arial" w:eastAsia="Arial" w:hAnsi="Arial"/>
          <w:b/>
          <w:bCs/>
          <w:color w:val="1E3A4C"/>
          <w:sz w:val="20"/>
          <w:szCs w:val="20"/>
        </w:rPr>
        <w:t xml:space="preserve">Entity Class Enum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80"/>
        <w:gridCol w:w="4880"/>
      </w:tblGrid>
      <w:tr>
        <w:trPr>
          <w:tblHeader/>
        </w:trPr>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entity_class</w:t>
            </w:r>
          </w:p>
        </w:tc>
        <w:tc>
          <w:tcPr>
            <w:tcW w:type="dxa" w:w="328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c>
          <w:tcPr>
            <w:tcW w:type="dxa" w:w="488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 System Examples</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RACK</w:t>
            </w:r>
          </w:p>
        </w:tc>
        <w:tc>
          <w:tcPr>
            <w:tcW w:type="dxa" w:w="32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Physical rack enclosure. Holds capacity specs for power (kW) and space (U).</w:t>
            </w:r>
          </w:p>
        </w:tc>
        <w:tc>
          <w:tcPr>
            <w:tcW w:type="dxa" w:w="48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nlyte: 'Rack', Sunbird: 'Cabinet', EcoStruxure: 'Rack', CSV: rack_id column</w:t>
            </w:r>
          </w:p>
        </w:tc>
      </w:tr>
      <w:tr>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DEVICE</w:t>
            </w:r>
          </w:p>
        </w:tc>
        <w:tc>
          <w:tcPr>
            <w:tcW w:type="dxa" w:w="32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Any IT or OT device — server, switch, router, firewall, storage array, KVM.</w:t>
            </w:r>
          </w:p>
        </w:tc>
        <w:tc>
          <w:tcPr>
            <w:tcW w:type="dxa" w:w="48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Device/Asset, SNMP: sysObjectID host, Redfish: Chassis, IPMI: BMC endpoint</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PDU</w:t>
            </w:r>
          </w:p>
        </w:tc>
        <w:tc>
          <w:tcPr>
            <w:tcW w:type="dxa" w:w="32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Power distribution unit. Related to RACK via powered_by edge.</w:t>
            </w:r>
          </w:p>
        </w:tc>
        <w:tc>
          <w:tcPr>
            <w:tcW w:type="dxa" w:w="48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PowerStrip/PDU, IPMI: PDU entity, SNMP: powerMIB host, EcoStruxure: PDU</w:t>
            </w:r>
          </w:p>
        </w:tc>
      </w:tr>
      <w:tr>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FEED</w:t>
            </w:r>
          </w:p>
        </w:tc>
        <w:tc>
          <w:tcPr>
            <w:tcW w:type="dxa" w:w="32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Upstream power circuit or feed from utility or generator.</w:t>
            </w:r>
          </w:p>
        </w:tc>
        <w:tc>
          <w:tcPr>
            <w:tcW w:type="dxa" w:w="48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PowerFeed/Circuit, EcoStruxure: Circuit breaker, CSV: feed_id column</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INTERFACE</w:t>
            </w:r>
          </w:p>
        </w:tc>
        <w:tc>
          <w:tcPr>
            <w:tcW w:type="dxa" w:w="32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Network interface, port, or connection endpoint on a device.</w:t>
            </w:r>
          </w:p>
        </w:tc>
        <w:tc>
          <w:tcPr>
            <w:tcW w:type="dxa" w:w="48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SNMP: ifTable row (ifIndex), Redfish: EthernetInterface, DCIM: Port asset</w:t>
            </w:r>
          </w:p>
        </w:tc>
      </w:tr>
      <w:tr>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SENSOR</w:t>
            </w:r>
          </w:p>
        </w:tc>
        <w:tc>
          <w:tcPr>
            <w:tcW w:type="dxa" w:w="32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Environmental or hardware sensor. Attached to a parent entity.</w:t>
            </w:r>
          </w:p>
        </w:tc>
        <w:tc>
          <w:tcPr>
            <w:tcW w:type="dxa" w:w="488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Sensor, MQTT payload type=sensor, IPMI: SDR entry, BACnet: AO/AI object</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SERVICE</w:t>
            </w:r>
          </w:p>
        </w:tc>
        <w:tc>
          <w:tcPr>
            <w:tcW w:type="dxa" w:w="32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Logical software service or application running on infrastructure.</w:t>
            </w:r>
          </w:p>
        </w:tc>
        <w:tc>
          <w:tcPr>
            <w:tcW w:type="dxa" w:w="488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Service/Application, CMDB: Configuration Item, Manual entry</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3.2.6 ENTITY_ATTRIBUTE</w:t>
      </w:r>
    </w:p>
    <w:p>
      <w:pPr>
        <w:spacing w:before="80" w:after="120"/>
      </w:pPr>
      <w:r>
        <w:rPr>
          <w:rFonts w:ascii="Arial" w:cs="Arial" w:eastAsia="Arial" w:hAnsi="Arial"/>
          <w:color w:val="000000"/>
          <w:sz w:val="22"/>
          <w:szCs w:val="22"/>
        </w:rPr>
        <w:t xml:space="preserve">Stores all vendor-specific, non-canonical attributes as rows using a namespace + key + value pattern. This is the core mechanism enabling vendor-agnosticism: adding a new DCIM vendor's proprietary field requires no schema change — only a new FIELD_MAPPING row that maps the source field to an ENTITY_ATTRIBUTE row with the appropriate namespace and key.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attribute_id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attribute row.</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this attribute belongs to.</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attribute_namespace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Vendor/source namespace. Examples: dcim.nlyte, dcim.sunbird, snmp, redfish, dcim.ecostruxure, manual.</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attribute_key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Attribute name within namespace. Examples: asset_tag, sys_oid, chassis_type, cooling_zone_id.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attribute_value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attribute value as a string. All values stored as text; type coercion at query time.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value_type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Declared type for coercion: STRING, INTEGER, FLOAT, BOOLEAN, JSON, TIMESTAMP, URL.</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source_record_id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SOURCE_RECORD</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record that contributed this attribute. Enables provenance tracing.</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captured_at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when this attribute was first captured from the source.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of last update from source.</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3.2.7 ENTITY_RELATIONSHIP</w:t>
      </w:r>
    </w:p>
    <w:p>
      <w:pPr>
        <w:spacing w:before="80" w:after="120"/>
      </w:pPr>
      <w:r>
        <w:rPr>
          <w:rFonts w:ascii="Arial" w:cs="Arial" w:eastAsia="Arial" w:hAnsi="Arial"/>
          <w:color w:val="000000"/>
          <w:sz w:val="22"/>
          <w:szCs w:val="22"/>
        </w:rPr>
        <w:t xml:space="preserve">Models typed directed relationships between any two INFRASTRUCTURE_ENTITY records as both Neo4j edges and as relational records for audit trail purposes (FR-GT-08). The last_confirmed_at field enables the topology reconciliation agent to detect stale edges — relationships that DCIM or discovery no longer confirms, which may indicate cabling mismatches or decommissioned connections.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relationship_id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relationship record.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from_entity_id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entity of the directed relationship.</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to_entity_id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Target entity of the directed relationship.</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relationship_type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Type: in_rack | powered_by | connected_to | runs | depends_on. Neo4j edge label.</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relationship_class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Broader classification: PHYSICAL, POWER, NETWORK, LOGICAL, SERVICE.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properties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Additional relationship properties (e.g. port number, cable ID, redundancy role).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source_record_id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SOURCE_RECORD</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that established this relationship.</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valid_from</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When this relationship became active.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valid_to</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When this relationship ended. NULL = currently active.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last_confirmed_at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Last time discovery or DCIM confirmed this relationship exists. Used to detect stale edges.</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3.2.8 CAPACITY_SPEC</w:t>
      </w:r>
    </w:p>
    <w:p>
      <w:pPr>
        <w:spacing w:before="80" w:after="120"/>
      </w:pPr>
      <w:r>
        <w:rPr>
          <w:rFonts w:ascii="Arial" w:cs="Arial" w:eastAsia="Arial" w:hAnsi="Arial"/>
          <w:color w:val="000000"/>
          <w:sz w:val="22"/>
          <w:szCs w:val="22"/>
        </w:rPr>
        <w:t xml:space="preserve">Stores rated and usable capacity dimensions for any INFRASTRUCTURE_ENTITY. Capacity is modelled as rows rather than typed columns (power_kw, space_u, cooling_kw) because different entity types have different relevant capacity dimensions, and new dimensions can be added without schema changes. The Prediction &amp; Capacity Agent uses CAPACITY_SPEC to determine exhaustion thresholds.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spec_id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capacity specification.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this capacity spec belongs to.</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dimension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Capacity dimension: power_kw | space_u | cooling_kw | bandwidth_gbps | storage_tb. Extensible.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rated_value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Maximum rated capacity from manufacturer spec or DCIM design records.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usable_value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Usable/derated capacity after derating factors. May differ from rated_value.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unit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Unit of measurement matching the dimension (kW, U, Gbps, TB, etc.).</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source_record_id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SOURCE_RECORD</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 record that provided this capacity specification.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effective_from</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Date from which this specification is valid (supports capacity upgrades).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effective_to</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Date after which this spec is superseded. NULL = currently active.</w:t>
            </w:r>
          </w:p>
        </w:tc>
      </w:tr>
    </w:tbl>
    <w:p>
      <w:r>
        <w:br w:type="page"/>
      </w:r>
    </w:p>
    <w:p>
      <w:pPr>
        <w:pStyle w:val="Heading1"/>
        <w:spacing w:before="480" w:after="200"/>
      </w:pPr>
      <w:bookmarkStart w:name="layer2" w:id="1"/>
      <w:r>
        <w:rPr>
          <w:rFonts w:ascii="Arial" w:cs="Arial" w:eastAsia="Arial" w:hAnsi="Arial"/>
          <w:b/>
          <w:bCs/>
          <w:color w:val="0D1B2A"/>
          <w:sz w:val="32"/>
          <w:szCs w:val="32"/>
        </w:rPr>
        <w:t xml:space="preserve">4. Layer 2 — Source Normalisation</w:t>
      </w:r>
      <w:bookmarkEnd w:id="1"/>
    </w:p>
    <w:p>
      <w:pPr>
        <w:spacing w:before="80" w:after="120"/>
      </w:pPr>
      <w:r>
        <w:rPr>
          <w:rFonts w:ascii="Arial" w:cs="Arial" w:eastAsia="Arial" w:hAnsi="Arial"/>
          <w:color w:val="000000"/>
          <w:sz w:val="22"/>
          <w:szCs w:val="22"/>
        </w:rPr>
        <w:t xml:space="preserve">Layer 2 is the translation boundary between heterogeneous source systems and the canonical data model. It is the architectural layer that makes vendor-agnosticism operational rather than just theoretical. Every source system — DCIM, telemetry, discovery — connects through this layer, and its mapping configuration determines how source data is normalised, deduplicated, and resolved into canonical entities.</w:t>
      </w:r>
    </w:p>
    <w:p>
      <w:pPr>
        <w:spacing w:before="80" w:after="120"/>
      </w:pPr>
      <w:r>
        <w:rPr>
          <w:rFonts w:ascii="Arial" w:cs="Arial" w:eastAsia="Arial" w:hAnsi="Arial"/>
          <w:color w:val="000000"/>
          <w:sz w:val="22"/>
          <w:szCs w:val="22"/>
        </w:rPr>
        <w:t xml:space="preserve">The key insight of Layer 2 is that mapping configuration is stored as data, not code. Adding a new DCIM vendor means inserting new FIELD_MAPPING rows and a new SOURCE_SYSTEM row — no new connector code is required for vendors that follow standard REST API patterns.</w:t>
      </w:r>
    </w:p>
    <w:p>
      <w:pPr>
        <w:pStyle w:val="Heading2"/>
        <w:spacing w:before="320" w:after="160"/>
      </w:pPr>
      <w:bookmarkStart w:name="erd2" w:id="1"/>
      <w:r>
        <w:rPr>
          <w:rFonts w:ascii="Arial" w:cs="Arial" w:eastAsia="Arial" w:hAnsi="Arial"/>
          <w:b/>
          <w:bCs/>
          <w:color w:val="1E3A4C"/>
          <w:sz w:val="26"/>
          <w:szCs w:val="26"/>
        </w:rPr>
        <w:t xml:space="preserve">4.1 ERD 2 — Source Normalisation Layer</w:t>
      </w:r>
      <w:bookmarkEnd w:id="1"/>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D97706" w:sz="8"/>
              <w:left w:val="single" w:color="D97706" w:sz="8"/>
              <w:bottom w:val="single" w:color="D97706" w:sz="8"/>
              <w:right w:val="single" w:color="D97706" w:sz="8"/>
            </w:tcBorders>
            <w:shd w:fill="D97706" w:val="clear"/>
            <w:tcMar>
              <w:top w:type="dxa" w:w="120"/>
              <w:left w:type="dxa" w:w="180"/>
              <w:bottom w:type="dxa" w:w="120"/>
              <w:right w:type="dxa" w:w="180"/>
            </w:tcMar>
          </w:tcPr>
          <w:p>
            <w:pPr>
              <w:spacing w:before="0" w:after="40"/>
            </w:pPr>
            <w:r>
              <w:rPr>
                <w:rFonts w:ascii="Arial" w:cs="Arial" w:eastAsia="Arial" w:hAnsi="Arial"/>
                <w:b/>
                <w:bCs/>
                <w:color w:val="FFFFFF"/>
                <w:sz w:val="24"/>
                <w:szCs w:val="24"/>
              </w:rPr>
              <w:t xml:space="preserve">ERD 2 — Source Normalisation Layer</w:t>
            </w:r>
          </w:p>
          <w:p>
            <w:pPr>
              <w:spacing w:before="0" w:after="0"/>
            </w:pPr>
            <w:r>
              <w:rPr>
                <w:rFonts w:ascii="Arial" w:cs="Arial" w:eastAsia="Arial" w:hAnsi="Arial"/>
                <w:color w:val="D0F0F8"/>
                <w:sz w:val="18"/>
                <w:szCs w:val="18"/>
              </w:rPr>
              <w:t xml:space="preserve">Entities governing how any source system maps to canonical entities — stored in PostgreSQL</w:t>
            </w:r>
          </w:p>
        </w:tc>
      </w:tr>
      <w:tr>
        <w:tc>
          <w:tcPr>
            <w:gridSpan w:val="2"/>
            <w:tcBorders>
              <w:top w:val="none" w:color="FFFFFF" w:sz="0"/>
              <w:left w:val="single" w:color="D97706" w:sz="8"/>
              <w:bottom w:val="single" w:color="D97706" w:sz="4"/>
              <w:right w:val="single" w:color="D97706" w:sz="8"/>
            </w:tcBorders>
            <w:shd w:fill="FAEEDA" w:val="clear"/>
            <w:tcMar>
              <w:top w:type="dxa" w:w="80"/>
              <w:left w:type="dxa" w:w="180"/>
              <w:bottom w:type="dxa" w:w="80"/>
              <w:right w:type="dxa" w:w="180"/>
            </w:tcMar>
          </w:tcPr>
          <w:p>
            <w:pPr>
              <w:spacing w:before="80" w:after="120"/>
            </w:pPr>
            <w:r>
              <w:rPr>
                <w:rFonts w:ascii="Arial" w:cs="Arial" w:eastAsia="Arial" w:hAnsi="Arial"/>
                <w:b/>
                <w:bCs/>
                <w:color w:val="1E3A4C"/>
                <w:sz w:val="20"/>
                <w:szCs w:val="20"/>
              </w:rPr>
              <w:t xml:space="preserve">Layer: </w:t>
            </w:r>
            <w:r>
              <w:rPr>
                <w:rFonts w:ascii="Arial" w:cs="Arial" w:eastAsia="Arial" w:hAnsi="Arial"/>
                <w:color w:val="D97706"/>
                <w:sz w:val="20"/>
                <w:szCs w:val="20"/>
              </w:rPr>
              <w:t xml:space="preserve">Layer 2 · PostgreSQL (relational)</w:t>
            </w:r>
            <w:r>
              <w:rPr>
                <w:rFonts w:ascii="Arial" w:cs="Arial" w:eastAsia="Arial" w:hAnsi="Arial"/>
                <w:color w:val="1E3A4C"/>
                <w:sz w:val="20"/>
                <w:szCs w:val="20"/>
              </w:rPr>
              <w:t xml:space="preserve">  |  Interactive HTML: </w:t>
            </w:r>
            <w:hyperlink w:history="1" r:id="rIdq-a4ecsxv1aakd2ye1nyz">
              <w:r>
                <w:rPr>
                  <w:rFonts w:ascii="Arial" w:cs="Arial" w:eastAsia="Arial" w:hAnsi="Arial"/>
                  <w:color w:val="0891B2"/>
                  <w:sz w:val="20"/>
                  <w:szCs w:val="20"/>
                  <w:u w:val="single" w:color="0891B2"/>
                </w:rPr>
                <w:t xml:space="preserve">erd2_source_normalisation.html</w:t>
              </w:r>
            </w:hyperlink>
          </w:p>
        </w:tc>
      </w:tr>
      <w:tr>
        <w:tc>
          <w:tcPr>
            <w:tcW w:type="dxa" w:w="4680"/>
            <w:tcBorders>
              <w:top w:val="none" w:color="FFFFFF" w:sz="0"/>
              <w:left w:val="single" w:color="D97706" w:sz="8"/>
              <w:bottom w:val="single" w:color="E2E8F0" w:sz="2"/>
              <w:right w:val="single" w:color="E2E8F0" w:sz="2"/>
            </w:tcBorders>
            <w:shd w:fill="FAEEDA"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SOURCE_SYSTEM</w:t>
            </w:r>
          </w:p>
        </w:tc>
        <w:tc>
          <w:tcPr>
            <w:tcW w:type="dxa" w:w="4680"/>
            <w:tcBorders>
              <w:top w:val="none" w:color="FFFFFF" w:sz="0"/>
              <w:left w:val="single" w:color="E2E8F0" w:sz="2"/>
              <w:bottom w:val="single" w:color="E2E8F0" w:sz="2"/>
              <w:right w:val="single" w:color="D97706" w:sz="8"/>
            </w:tcBorders>
            <w:shd w:fill="FAEEDA"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SOURCE_RECORD</w:t>
            </w:r>
          </w:p>
        </w:tc>
      </w:tr>
      <w:tr>
        <w:tc>
          <w:tcPr>
            <w:tcW w:type="dxa" w:w="4680"/>
            <w:tcBorders>
              <w:top w:val="none" w:color="FFFFFF" w:sz="0"/>
              <w:left w:val="single" w:color="D97706"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FIELD_MAPPING</w:t>
            </w:r>
          </w:p>
        </w:tc>
        <w:tc>
          <w:tcPr>
            <w:tcW w:type="dxa" w:w="4680"/>
            <w:tcBorders>
              <w:top w:val="none" w:color="FFFFFF" w:sz="0"/>
              <w:left w:val="single" w:color="E2E8F0" w:sz="2"/>
              <w:bottom w:val="single" w:color="E2E8F0" w:sz="2"/>
              <w:right w:val="single" w:color="D97706"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IDENTITY_SIGNAL</w:t>
            </w:r>
          </w:p>
        </w:tc>
      </w:tr>
      <w:tr>
        <w:tc>
          <w:tcPr>
            <w:tcW w:type="dxa" w:w="4680"/>
            <w:tcBorders>
              <w:top w:val="none" w:color="FFFFFF" w:sz="0"/>
              <w:left w:val="single" w:color="D97706" w:sz="8"/>
              <w:bottom w:val="single" w:color="E2E8F0" w:sz="2"/>
              <w:right w:val="single" w:color="E2E8F0" w:sz="2"/>
            </w:tcBorders>
            <w:shd w:fill="FAEEDA"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ENTITY_RESOLUTION_RULE</w:t>
            </w:r>
          </w:p>
        </w:tc>
        <w:tc>
          <w:tcPr>
            <w:tcW w:type="dxa" w:w="4680"/>
            <w:tcBorders>
              <w:top w:val="none" w:color="FFFFFF" w:sz="0"/>
              <w:left w:val="single" w:color="E2E8F0" w:sz="2"/>
              <w:bottom w:val="single" w:color="E2E8F0" w:sz="2"/>
              <w:right w:val="single" w:color="D97706" w:sz="8"/>
            </w:tcBorders>
            <w:shd w:fill="FAEEDA"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SYNC_LOG</w:t>
            </w:r>
          </w:p>
        </w:tc>
      </w:tr>
      <w:tr>
        <w:tc>
          <w:tcPr>
            <w:tcW w:type="dxa" w:w="4680"/>
            <w:tcBorders>
              <w:top w:val="none" w:color="FFFFFF" w:sz="0"/>
              <w:left w:val="single" w:color="D97706"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DEAD_LETTER_RECORD</w:t>
            </w:r>
          </w:p>
        </w:tc>
        <w:tc>
          <w:tcPr>
            <w:tcW w:type="dxa" w:w="4680"/>
            <w:tcBorders>
              <w:top w:val="none" w:color="FFFFFF" w:sz="0"/>
              <w:left w:val="single" w:color="E2E8F0" w:sz="2"/>
              <w:bottom w:val="single" w:color="E2E8F0" w:sz="2"/>
              <w:right w:val="single" w:color="D97706"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KAFKA_TOPIC</w:t>
            </w:r>
          </w:p>
        </w:tc>
      </w:tr>
      <w:tr>
        <w:tc>
          <w:tcPr>
            <w:gridSpan w:val="2"/>
            <w:tcBorders>
              <w:top w:val="single" w:color="E2E8F0" w:sz="2"/>
              <w:left w:val="single" w:color="D97706" w:sz="8"/>
              <w:bottom w:val="single" w:color="D97706" w:sz="8"/>
              <w:right w:val="single" w:color="D97706" w:sz="8"/>
            </w:tcBorders>
            <w:shd w:fill="F1F5F9" w:val="clear"/>
            <w:tcMar>
              <w:top w:type="dxa" w:w="100"/>
              <w:left w:type="dxa" w:w="180"/>
              <w:bottom w:type="dxa" w:w="100"/>
              <w:right w:type="dxa" w:w="180"/>
            </w:tcMar>
          </w:tcPr>
          <w:p>
            <w:pPr>
              <w:spacing w:before="0" w:after="0"/>
            </w:pPr>
            <w:r>
              <w:rPr>
                <w:rFonts w:ascii="Arial" w:cs="Arial" w:eastAsia="Arial" w:hAnsi="Arial"/>
                <w:b/>
                <w:bCs/>
                <w:color w:val="D97706"/>
                <w:sz w:val="19"/>
                <w:szCs w:val="19"/>
              </w:rPr>
              <w:t xml:space="preserve">⚡ Interactive version: </w:t>
            </w:r>
            <w:r>
              <w:rPr>
                <w:rFonts w:ascii="Arial" w:cs="Arial" w:eastAsia="Arial" w:hAnsi="Arial"/>
                <w:color w:val="1E3A4C"/>
                <w:sz w:val="19"/>
                <w:szCs w:val="19"/>
              </w:rPr>
              <w:t xml:space="preserve">Open erd2_source_normalisation.html in any browser for fully zoomable, pannable ERD with scroll-to-zoom and drag-to-pan. </w:t>
            </w:r>
            <w:r>
              <w:rPr>
                <w:rFonts w:ascii="Arial" w:cs="Arial" w:eastAsia="Arial" w:hAnsi="Arial"/>
                <w:color w:val="1E3A4C"/>
                <w:sz w:val="19"/>
                <w:szCs w:val="19"/>
              </w:rPr>
              <w:t xml:space="preserve">The HTML file is included in the companion zip alongside this document.</w:t>
            </w:r>
          </w:p>
        </w:tc>
      </w:tr>
    </w:tbl>
    <w:p>
      <w:pPr>
        <w:spacing w:before="80" w:after="200"/>
        <w:jc w:val="center"/>
      </w:pPr>
      <w:r>
        <w:rPr>
          <w:rFonts w:ascii="Arial" w:cs="Arial" w:eastAsia="Arial" w:hAnsi="Arial"/>
          <w:i/>
          <w:iCs/>
          <w:color w:val="64748B"/>
          <w:sz w:val="18"/>
          <w:szCs w:val="18"/>
        </w:rPr>
        <w:t xml:space="preserve">Figure 2: Source Normalisation Layer ERD. Open erd2_source_normalisation.html for interactive zoom/pan.</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4.2 Entity Definitions</w:t>
      </w:r>
    </w:p>
    <w:p>
      <w:pPr>
        <w:pStyle w:val="Heading3"/>
        <w:spacing w:before="240" w:after="120"/>
      </w:pPr>
      <w:r>
        <w:rPr>
          <w:rFonts w:ascii="Arial" w:cs="Arial" w:eastAsia="Arial" w:hAnsi="Arial"/>
          <w:b/>
          <w:bCs/>
          <w:color w:val="0891B2"/>
          <w:sz w:val="22"/>
          <w:szCs w:val="22"/>
        </w:rPr>
        <w:t xml:space="preserve">4.2.1 SOURCE_SYSTEM</w:t>
      </w:r>
    </w:p>
    <w:p>
      <w:pPr>
        <w:spacing w:before="80" w:after="120"/>
      </w:pPr>
      <w:r>
        <w:rPr>
          <w:rFonts w:ascii="Arial" w:cs="Arial" w:eastAsia="Arial" w:hAnsi="Arial"/>
          <w:color w:val="000000"/>
          <w:sz w:val="22"/>
          <w:szCs w:val="22"/>
        </w:rPr>
        <w:t xml:space="preserve">The registry of every connected data source. Each SOURCE_SYSTEM record represents one connection to one external system — a specific nlyte installation, a specific Prometheus server, a specific SNMP walk target range. The source_class field categorises the source type, and connection_config stores the vendor-specific connection parameters as JSON without imposing a canonical schema.</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source system connection.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name for this source (e.g. 'nlyte-portici-prod', 'prometheus-dc-east').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 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Category: DCIM | TELEMETRY | DISCOVERY | LOG | MANUAL. Determines ingest pipeline.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vendor_name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 name (e.g. nlyte, Sunbird, Schneider, Prometheus). Used for connector selection.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product_name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Product name (e.g. EcoStruxure IT, nlyte Energy Manager). For display and compatibility.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product_version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 product version string. Used for API compatibility checks in connectors.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connection_type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REST_API | MQTT | SNMP | WEBHOOK | CSV_IMPORT | KAFKA_TOPIC | GRPC.</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connection_config</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Vendor-specific connection parameters: API endpoint, auth type, poll interval, topic name, etc.</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auth_type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BASIC | BEARER | API_KEY | OAUTH2 | MTLS | SNMP_V2C | SNMP_V3.</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ACTIVE | DEGRADED | PAUSED | ERROR | DECOMMISSIONED.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last_sync_at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of the most recent successful sync or ingestion event.</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4.2.2 FIELD_MAPPING</w:t>
      </w:r>
    </w:p>
    <w:p>
      <w:pPr>
        <w:spacing w:before="80" w:after="120"/>
      </w:pPr>
      <w:r>
        <w:rPr>
          <w:rFonts w:ascii="Arial" w:cs="Arial" w:eastAsia="Arial" w:hAnsi="Arial"/>
          <w:color w:val="000000"/>
          <w:sz w:val="22"/>
          <w:szCs w:val="22"/>
        </w:rPr>
        <w:t xml:space="preserve">The per-source mapping ruleset that transforms source field paths to canonical targets. Each row defines a single field transformation: where to find the value in the source payload (source_field_path using JSONPath or XPath notation), where it goes in the canonical model (canonical_target), and how to transform it (transform_type + transform_expression). The dcim-ingestion-service and telemetry-gateway-service load these mappings at startup and apply them to every incoming record generically.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mapping_id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mapping rule.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system this mapping applies to.</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source_entity_type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entity type these rules apply to (e.g. rack, device, pdu in the source vocabulary).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source_field_path</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JSONPath or dot-notation path to the field in the source payload (e.g. $.rack.properties.name).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canonical_target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Where the value goes: ENTITY_FIELD | ENTITY_ATTRIBUTE | IDENTITY_SIGNAL | CAPACITY_SPEC | RELATIONSHIP.</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canonical_namespace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For ENTITY_ATTRIBUTE target: namespace string (e.g. dcim.nlyte, snmp, redfish).</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canonical_key</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For ENTITY_ATTRIBUTE target: key string (e.g. asset_tag, sys_descr, chassis_type).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transform_type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DIRECT | UNIT_CONVERT | ENUM_MAP | EXPRESSION | CONSTANT | EXTRACT | PER_ROW.</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transform_expression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Transformation expression, formula, mapping JSON, or regex depending on transform_type.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value_type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Declared output type: STRING | INTEGER | FLOAT | BOOLEAN | JSON | TIMESTAMP.</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is_identity_field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True if this field contributes to IDENTITY_SIGNAL for entity resolution.</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is_required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If true, a missing source field marks the SOURCE_RECORD as REJECTED.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updated_at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last update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4.2.3 IDENTITY_SIGNAL</w:t>
      </w:r>
    </w:p>
    <w:p>
      <w:pPr>
        <w:spacing w:before="80" w:after="120"/>
      </w:pPr>
      <w:r>
        <w:rPr>
          <w:rFonts w:ascii="Arial" w:cs="Arial" w:eastAsia="Arial" w:hAnsi="Arial"/>
          <w:color w:val="000000"/>
          <w:sz w:val="22"/>
          <w:szCs w:val="22"/>
        </w:rPr>
        <w:t xml:space="preserve">Each SOURCE_RECORD that contributes identity information about an entity generates one or more IDENTITY_SIGNAL rows. The entity resolution engine (graph-updater-service) collects all signals for a given entity across all sources and applies the tenant-configured ENTITY_RESOLUTION_RULE to determine which canonical entity they all refer to. This is what enables a server to be recognised as the same device when described by nlyte (via asset tag), SNMP (via OID + MAC), and Prometheus (via hostname) simultaneously.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signal_id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identity signal.</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entity this signal resolves to. NULL until resolution completes.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system that produced this signal.</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signal_type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Type: MAC_ADDRESS | SERIAL_NUMBER | IP_ADDRESS | HOSTNAME | SNMP_OID | RACK_USLOT | ASSET_TAG | REDFISH_ID.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signal_value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identity value (e.g. '00:1A:2B:3C:4D:5E', '12345ABC', '10.0.1.42').</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match_confidence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Confidence score assigned by the resolution engine for this match.</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resolution_status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PENDING | RESOLVED | CONFLICT | UNRESOLVABLE.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observed_at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when this signal was extracted from the source record.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resolved_at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when the signal was successfully resolved to a canonical entity.</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4.2.4 ENTITY_RESOLUTION_RULE</w:t>
      </w:r>
    </w:p>
    <w:p>
      <w:pPr>
        <w:spacing w:before="80" w:after="120"/>
      </w:pPr>
      <w:r>
        <w:rPr>
          <w:rFonts w:ascii="Arial" w:cs="Arial" w:eastAsia="Arial" w:hAnsi="Arial"/>
          <w:color w:val="000000"/>
          <w:sz w:val="22"/>
          <w:szCs w:val="22"/>
        </w:rPr>
        <w:t xml:space="preserve">Stores tenant-configurable entity matching strategies. Different customers have different identity signal availability: a customer whose DCIM exposes serial numbers can use EXACT_SERIAL as their primary strategy. One that only exposes rack position and U-slot can use RACK_USLOT_POSITION. Strategies are evaluated in priority order, and conflict_resolution determines what happens when multiple candidates match.</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rule_id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resolution rule.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rule_name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Descriptive name (e.g. 'Primary — Serial Number Match', 'Fallback — Rack+U-Slot').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match_strategy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EXACT_SERIAL | MAC_ADDRESS | IP_ADDRESS | HOSTNAME_FUZZY | RACK_USLOT_POSITION | OID_PREFIX | ASSET_TAG.</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match_criteria</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Strategy-specific configuration (e.g. fuzzy match threshold, OID prefix to compare).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confidence_threshold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Minimum match_confidence required to accept a resolution from this rule.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conflict_resolution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What to do when multiple candidates match: HIGHEST_CONFIDENCE | MANUAL_REVIEW | NEWEST_SOURCE | DCIM_WINS.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priority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Evaluation order. Lower number = evaluated first. Rules stop at first successful match.</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is_active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Whether this rule is currently applied.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4.2.5 SYNC_LOG and DEAD_LETTER_RECORD</w:t>
      </w:r>
    </w:p>
    <w:p>
      <w:pPr>
        <w:spacing w:before="80" w:after="120"/>
      </w:pPr>
      <w:r>
        <w:rPr>
          <w:rFonts w:ascii="Arial" w:cs="Arial" w:eastAsia="Arial" w:hAnsi="Arial"/>
          <w:color w:val="000000"/>
          <w:sz w:val="22"/>
          <w:szCs w:val="22"/>
        </w:rPr>
        <w:t xml:space="preserve">SYNC_LOG captures per-sync batch statistics for every SOURCE_SYSTEM: records received, mapped, rejected, and entity create/update counts. This implements the pipeline observability requirement (NFR-15) and provides the data for the Drift &amp; Hygiene Dashboard's ingestion health view.</w:t>
      </w:r>
    </w:p>
    <w:p>
      <w:pPr>
        <w:spacing w:before="80" w:after="120"/>
      </w:pPr>
      <w:r>
        <w:rPr>
          <w:rFonts w:ascii="Arial" w:cs="Arial" w:eastAsia="Arial" w:hAnsi="Arial"/>
          <w:color w:val="000000"/>
          <w:sz w:val="22"/>
          <w:szCs w:val="22"/>
        </w:rPr>
        <w:t xml:space="preserve">DEAD_LETTER_RECORD quarantines all records that fail schema validation or mapping, preserving their Kafka topic, partition, and offset for replay or manual investigation (DQ-01). Platform ops receive an alert when records_rejected exceeds a configurable threshold.</w:t>
      </w:r>
    </w:p>
    <w:p>
      <w:r>
        <w:br w:type="page"/>
      </w:r>
    </w:p>
    <w:p>
      <w:pPr>
        <w:pStyle w:val="Heading1"/>
        <w:spacing w:before="480" w:after="200"/>
      </w:pPr>
      <w:bookmarkStart w:name="layer3" w:id="1"/>
      <w:r>
        <w:rPr>
          <w:rFonts w:ascii="Arial" w:cs="Arial" w:eastAsia="Arial" w:hAnsi="Arial"/>
          <w:b/>
          <w:bCs/>
          <w:color w:val="0D1B2A"/>
          <w:sz w:val="32"/>
          <w:szCs w:val="32"/>
        </w:rPr>
        <w:t xml:space="preserve">5. Layer 3 — Telemetry &amp; Live State</w:t>
      </w:r>
      <w:bookmarkEnd w:id="1"/>
    </w:p>
    <w:p>
      <w:pPr>
        <w:spacing w:before="80" w:after="120"/>
      </w:pPr>
      <w:r>
        <w:rPr>
          <w:rFonts w:ascii="Arial" w:cs="Arial" w:eastAsia="Arial" w:hAnsi="Arial"/>
          <w:color w:val="000000"/>
          <w:sz w:val="22"/>
          <w:szCs w:val="22"/>
        </w:rPr>
        <w:t xml:space="preserve">Layer 3 is the time-series foundation of the Virtual Twin — the real-time data that keeps INFRASTRUCTURE_ENTITY live state properties current and provides the historical feature data that the Prediction &amp; Capacity Agent trains on. It is stored primarily in TimescaleDB (a PostgreSQL extension) as hypertables automatically partitioned by timestamp, with raw events also archived to S3 for replay and retraining.</w:t>
      </w:r>
    </w:p>
    <w:p>
      <w:pPr>
        <w:spacing w:before="80" w:after="120"/>
      </w:pPr>
      <w:r>
        <w:rPr>
          <w:rFonts w:ascii="Arial" w:cs="Arial" w:eastAsia="Arial" w:hAnsi="Arial"/>
          <w:color w:val="000000"/>
          <w:sz w:val="22"/>
          <w:szCs w:val="22"/>
        </w:rPr>
        <w:t xml:space="preserve">The fundamental design principle of Layer 3 is catalogue-driven: metrics and alerts are defined in catalogues (METRIC_CATALOGUE, ALERT_CATALOGUE) and mapped from source systems via mapping tables. METRIC_DATAPOINT contains no hard-coded metric columns — every reading is a (entity_id, metric_id, value, event_ts) row. Adding a new metric from a new source requires two rows in two tables, not a schema migration.</w:t>
      </w:r>
    </w:p>
    <w:p>
      <w:pPr>
        <w:pStyle w:val="Heading2"/>
        <w:spacing w:before="320" w:after="160"/>
      </w:pPr>
      <w:bookmarkStart w:name="erd3" w:id="1"/>
      <w:r>
        <w:rPr>
          <w:rFonts w:ascii="Arial" w:cs="Arial" w:eastAsia="Arial" w:hAnsi="Arial"/>
          <w:b/>
          <w:bCs/>
          <w:color w:val="1E3A4C"/>
          <w:sz w:val="26"/>
          <w:szCs w:val="26"/>
        </w:rPr>
        <w:t xml:space="preserve">5.1 ERD 3 — Telemetry &amp; Live State Layer</w:t>
      </w:r>
      <w:bookmarkEnd w:id="1"/>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059669" w:sz="8"/>
              <w:left w:val="single" w:color="059669" w:sz="8"/>
              <w:bottom w:val="single" w:color="059669" w:sz="8"/>
              <w:right w:val="single" w:color="059669" w:sz="8"/>
            </w:tcBorders>
            <w:shd w:fill="059669" w:val="clear"/>
            <w:tcMar>
              <w:top w:type="dxa" w:w="120"/>
              <w:left w:type="dxa" w:w="180"/>
              <w:bottom w:type="dxa" w:w="120"/>
              <w:right w:type="dxa" w:w="180"/>
            </w:tcMar>
          </w:tcPr>
          <w:p>
            <w:pPr>
              <w:spacing w:before="0" w:after="40"/>
            </w:pPr>
            <w:r>
              <w:rPr>
                <w:rFonts w:ascii="Arial" w:cs="Arial" w:eastAsia="Arial" w:hAnsi="Arial"/>
                <w:b/>
                <w:bCs/>
                <w:color w:val="FFFFFF"/>
                <w:sz w:val="24"/>
                <w:szCs w:val="24"/>
              </w:rPr>
              <w:t xml:space="preserve">ERD 3 — Telemetry &amp; Live State Layer</w:t>
            </w:r>
          </w:p>
          <w:p>
            <w:pPr>
              <w:spacing w:before="0" w:after="0"/>
            </w:pPr>
            <w:r>
              <w:rPr>
                <w:rFonts w:ascii="Arial" w:cs="Arial" w:eastAsia="Arial" w:hAnsi="Arial"/>
                <w:color w:val="D0F0F8"/>
                <w:sz w:val="18"/>
                <w:szCs w:val="18"/>
              </w:rPr>
              <w:t xml:space="preserve">Generic metric and alert model stored in TimescaleDB hypertables. No hard-coded metric columns.</w:t>
            </w:r>
          </w:p>
        </w:tc>
      </w:tr>
      <w:tr>
        <w:tc>
          <w:tcPr>
            <w:gridSpan w:val="2"/>
            <w:tcBorders>
              <w:top w:val="none" w:color="FFFFFF" w:sz="0"/>
              <w:left w:val="single" w:color="059669" w:sz="8"/>
              <w:bottom w:val="single" w:color="059669" w:sz="4"/>
              <w:right w:val="single" w:color="059669" w:sz="8"/>
            </w:tcBorders>
            <w:shd w:fill="ECFDF5" w:val="clear"/>
            <w:tcMar>
              <w:top w:type="dxa" w:w="80"/>
              <w:left w:type="dxa" w:w="180"/>
              <w:bottom w:type="dxa" w:w="80"/>
              <w:right w:type="dxa" w:w="180"/>
            </w:tcMar>
          </w:tcPr>
          <w:p>
            <w:pPr>
              <w:spacing w:before="80" w:after="120"/>
            </w:pPr>
            <w:r>
              <w:rPr>
                <w:rFonts w:ascii="Arial" w:cs="Arial" w:eastAsia="Arial" w:hAnsi="Arial"/>
                <w:b/>
                <w:bCs/>
                <w:color w:val="1E3A4C"/>
                <w:sz w:val="20"/>
                <w:szCs w:val="20"/>
              </w:rPr>
              <w:t xml:space="preserve">Layer: </w:t>
            </w:r>
            <w:r>
              <w:rPr>
                <w:rFonts w:ascii="Arial" w:cs="Arial" w:eastAsia="Arial" w:hAnsi="Arial"/>
                <w:color w:val="059669"/>
                <w:sz w:val="20"/>
                <w:szCs w:val="20"/>
              </w:rPr>
              <w:t xml:space="preserve">Layer 3 · TimescaleDB Hypertables + S3 Object Store</w:t>
            </w:r>
            <w:r>
              <w:rPr>
                <w:rFonts w:ascii="Arial" w:cs="Arial" w:eastAsia="Arial" w:hAnsi="Arial"/>
                <w:color w:val="1E3A4C"/>
                <w:sz w:val="20"/>
                <w:szCs w:val="20"/>
              </w:rPr>
              <w:t xml:space="preserve">  |  Interactive HTML: </w:t>
            </w:r>
            <w:hyperlink w:history="1" r:id="rIdstqwajf4f0wad6qseyhuw">
              <w:r>
                <w:rPr>
                  <w:rFonts w:ascii="Arial" w:cs="Arial" w:eastAsia="Arial" w:hAnsi="Arial"/>
                  <w:color w:val="0891B2"/>
                  <w:sz w:val="20"/>
                  <w:szCs w:val="20"/>
                  <w:u w:val="single" w:color="0891B2"/>
                </w:rPr>
                <w:t xml:space="preserve">erd3_telemetry_live_state.html</w:t>
              </w:r>
            </w:hyperlink>
          </w:p>
        </w:tc>
      </w:tr>
      <w:tr>
        <w:tc>
          <w:tcPr>
            <w:tcW w:type="dxa" w:w="4680"/>
            <w:tcBorders>
              <w:top w:val="none" w:color="FFFFFF" w:sz="0"/>
              <w:left w:val="single" w:color="059669" w:sz="8"/>
              <w:bottom w:val="single" w:color="E2E8F0" w:sz="2"/>
              <w:right w:val="single" w:color="E2E8F0" w:sz="2"/>
            </w:tcBorders>
            <w:shd w:fill="ECFDF5"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METRIC_CATALOGUE</w:t>
            </w:r>
          </w:p>
        </w:tc>
        <w:tc>
          <w:tcPr>
            <w:tcW w:type="dxa" w:w="4680"/>
            <w:tcBorders>
              <w:top w:val="none" w:color="FFFFFF" w:sz="0"/>
              <w:left w:val="single" w:color="E2E8F0" w:sz="2"/>
              <w:bottom w:val="single" w:color="E2E8F0" w:sz="2"/>
              <w:right w:val="single" w:color="059669" w:sz="8"/>
            </w:tcBorders>
            <w:shd w:fill="ECFDF5"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METRIC_SOURCE_MAPPING</w:t>
            </w:r>
          </w:p>
        </w:tc>
      </w:tr>
      <w:tr>
        <w:tc>
          <w:tcPr>
            <w:tcW w:type="dxa" w:w="4680"/>
            <w:tcBorders>
              <w:top w:val="none" w:color="FFFFFF" w:sz="0"/>
              <w:left w:val="single" w:color="059669"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METRIC_DATAPOINT</w:t>
            </w:r>
          </w:p>
        </w:tc>
        <w:tc>
          <w:tcPr>
            <w:tcW w:type="dxa" w:w="4680"/>
            <w:tcBorders>
              <w:top w:val="none" w:color="FFFFFF" w:sz="0"/>
              <w:left w:val="single" w:color="E2E8F0" w:sz="2"/>
              <w:bottom w:val="single" w:color="E2E8F0" w:sz="2"/>
              <w:right w:val="single" w:color="059669"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METRIC_ROLLUP</w:t>
            </w:r>
          </w:p>
        </w:tc>
      </w:tr>
      <w:tr>
        <w:tc>
          <w:tcPr>
            <w:tcW w:type="dxa" w:w="4680"/>
            <w:tcBorders>
              <w:top w:val="none" w:color="FFFFFF" w:sz="0"/>
              <w:left w:val="single" w:color="059669" w:sz="8"/>
              <w:bottom w:val="single" w:color="E2E8F0" w:sz="2"/>
              <w:right w:val="single" w:color="E2E8F0" w:sz="2"/>
            </w:tcBorders>
            <w:shd w:fill="ECFDF5"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METRIC_BASELINE</w:t>
            </w:r>
          </w:p>
        </w:tc>
        <w:tc>
          <w:tcPr>
            <w:tcW w:type="dxa" w:w="4680"/>
            <w:tcBorders>
              <w:top w:val="none" w:color="FFFFFF" w:sz="0"/>
              <w:left w:val="single" w:color="E2E8F0" w:sz="2"/>
              <w:bottom w:val="single" w:color="E2E8F0" w:sz="2"/>
              <w:right w:val="single" w:color="059669" w:sz="8"/>
            </w:tcBorders>
            <w:shd w:fill="ECFDF5"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ALERT_CATALOGUE</w:t>
            </w:r>
          </w:p>
        </w:tc>
      </w:tr>
      <w:tr>
        <w:tc>
          <w:tcPr>
            <w:tcW w:type="dxa" w:w="4680"/>
            <w:tcBorders>
              <w:top w:val="none" w:color="FFFFFF" w:sz="0"/>
              <w:left w:val="single" w:color="059669"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ALERT_SOURCE_MAPPING</w:t>
            </w:r>
          </w:p>
        </w:tc>
        <w:tc>
          <w:tcPr>
            <w:tcW w:type="dxa" w:w="4680"/>
            <w:tcBorders>
              <w:top w:val="none" w:color="FFFFFF" w:sz="0"/>
              <w:left w:val="single" w:color="E2E8F0" w:sz="2"/>
              <w:bottom w:val="single" w:color="E2E8F0" w:sz="2"/>
              <w:right w:val="single" w:color="059669"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ALERT_EVENT</w:t>
            </w:r>
          </w:p>
        </w:tc>
      </w:tr>
      <w:tr>
        <w:tc>
          <w:tcPr>
            <w:tcW w:type="dxa" w:w="4680"/>
            <w:tcBorders>
              <w:top w:val="none" w:color="FFFFFF" w:sz="0"/>
              <w:left w:val="single" w:color="059669" w:sz="8"/>
              <w:bottom w:val="single" w:color="E2E8F0" w:sz="2"/>
              <w:right w:val="single" w:color="E2E8F0" w:sz="2"/>
            </w:tcBorders>
            <w:shd w:fill="ECFDF5"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GRAPH_MUTATION_LOG</w:t>
            </w:r>
          </w:p>
        </w:tc>
        <w:tc>
          <w:tcPr>
            <w:tcW w:type="dxa" w:w="4680"/>
            <w:tcBorders>
              <w:top w:val="none" w:color="FFFFFF" w:sz="0"/>
              <w:left w:val="single" w:color="E2E8F0" w:sz="2"/>
              <w:bottom w:val="single" w:color="E2E8F0" w:sz="2"/>
              <w:right w:val="single" w:color="059669" w:sz="8"/>
            </w:tcBorders>
            <w:shd w:fill="ECFDF5"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STALE_TELEMETRY_EVENT</w:t>
            </w:r>
          </w:p>
        </w:tc>
      </w:tr>
      <w:tr>
        <w:tc>
          <w:tcPr>
            <w:gridSpan w:val="2"/>
            <w:tcBorders>
              <w:top w:val="single" w:color="E2E8F0" w:sz="2"/>
              <w:left w:val="single" w:color="059669" w:sz="8"/>
              <w:bottom w:val="single" w:color="059669" w:sz="8"/>
              <w:right w:val="single" w:color="059669" w:sz="8"/>
            </w:tcBorders>
            <w:shd w:fill="F1F5F9" w:val="clear"/>
            <w:tcMar>
              <w:top w:type="dxa" w:w="100"/>
              <w:left w:type="dxa" w:w="180"/>
              <w:bottom w:type="dxa" w:w="100"/>
              <w:right w:type="dxa" w:w="180"/>
            </w:tcMar>
          </w:tcPr>
          <w:p>
            <w:pPr>
              <w:spacing w:before="0" w:after="0"/>
            </w:pPr>
            <w:r>
              <w:rPr>
                <w:rFonts w:ascii="Arial" w:cs="Arial" w:eastAsia="Arial" w:hAnsi="Arial"/>
                <w:b/>
                <w:bCs/>
                <w:color w:val="D97706"/>
                <w:sz w:val="19"/>
                <w:szCs w:val="19"/>
              </w:rPr>
              <w:t xml:space="preserve">⚡ Interactive version: </w:t>
            </w:r>
            <w:r>
              <w:rPr>
                <w:rFonts w:ascii="Arial" w:cs="Arial" w:eastAsia="Arial" w:hAnsi="Arial"/>
                <w:color w:val="1E3A4C"/>
                <w:sz w:val="19"/>
                <w:szCs w:val="19"/>
              </w:rPr>
              <w:t xml:space="preserve">Open erd3_telemetry_live_state.html in any browser for fully zoomable, pannable ERD with scroll-to-zoom and drag-to-pan. </w:t>
            </w:r>
            <w:r>
              <w:rPr>
                <w:rFonts w:ascii="Arial" w:cs="Arial" w:eastAsia="Arial" w:hAnsi="Arial"/>
                <w:color w:val="1E3A4C"/>
                <w:sz w:val="19"/>
                <w:szCs w:val="19"/>
              </w:rPr>
              <w:t xml:space="preserve">The HTML file is included in the companion zip alongside this document.</w:t>
            </w:r>
          </w:p>
        </w:tc>
      </w:tr>
    </w:tbl>
    <w:p>
      <w:pPr>
        <w:spacing w:before="80" w:after="200"/>
        <w:jc w:val="center"/>
      </w:pPr>
      <w:r>
        <w:rPr>
          <w:rFonts w:ascii="Arial" w:cs="Arial" w:eastAsia="Arial" w:hAnsi="Arial"/>
          <w:i/>
          <w:iCs/>
          <w:color w:val="64748B"/>
          <w:sz w:val="18"/>
          <w:szCs w:val="18"/>
        </w:rPr>
        <w:t xml:space="preserve">Figure 3: Telemetry &amp; Live State Layer ERD. Open erd3_telemetry_live_state.html for interactive zoom/pan.</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5.2 Entity Definitions</w:t>
      </w:r>
    </w:p>
    <w:p>
      <w:pPr>
        <w:pStyle w:val="Heading3"/>
        <w:spacing w:before="240" w:after="120"/>
      </w:pPr>
      <w:r>
        <w:rPr>
          <w:rFonts w:ascii="Arial" w:cs="Arial" w:eastAsia="Arial" w:hAnsi="Arial"/>
          <w:b/>
          <w:bCs/>
          <w:color w:val="0891B2"/>
          <w:sz w:val="22"/>
          <w:szCs w:val="22"/>
        </w:rPr>
        <w:t xml:space="preserve">5.2.1 METRIC_CATALOGUE</w:t>
      </w:r>
    </w:p>
    <w:p>
      <w:pPr>
        <w:spacing w:before="80" w:after="120"/>
      </w:pPr>
      <w:r>
        <w:rPr>
          <w:rFonts w:ascii="Arial" w:cs="Arial" w:eastAsia="Arial" w:hAnsi="Arial"/>
          <w:color w:val="000000"/>
          <w:sz w:val="22"/>
          <w:szCs w:val="22"/>
        </w:rPr>
        <w:t xml:space="preserve">The canonical dictionary of all metrics the platform understands. Every metric — cpu_utilisation_pct, power_draw_w, inlet_temperature_c, rack_space_u_used, network_bandwidth_utilisation_pct — has one row in this table defining its unit, aggregation default, and alert thresholds. The Prediction &amp; Capacity Agent uses this table to know what metrics to train and forecast on.</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canonical identifier for this metric.</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 Allows per-tenant metric extensions.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canonical_metric_name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 UNIQUE per tenant</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name: cpu_utilisation_pct, power_draw_w, inlet_temperature_c, etc.</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metric_family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Grouping: POWER, THERMAL, COMPUTE, NETWORK, STORAGE, COOLING, ENVIRONMENTAL.</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metric_type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GAUGE (point-in-time) | COUNTER (cumulative) | HISTOGRAM | SUMMARY.</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unit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Unit of measurement: %, W, kW, °C, m/s, Gbps, V, A, etc.</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description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description of what this metric measures.</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aggregation_default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Default aggregation for rollups: AVG | SUM | MAX | MIN | P95.</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alert_threshold_warn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Warning threshold value. Used by anomaly detector as a soft boundary.</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alert_threshold_crit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Critical threshold value. Used for hard alert generation.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is_active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Whether this metric is currently being collected and processed.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5.2.2 METRIC_SOURCE_MAPPING</w:t>
      </w:r>
    </w:p>
    <w:p>
      <w:pPr>
        <w:spacing w:before="80" w:after="120"/>
      </w:pPr>
      <w:r>
        <w:rPr>
          <w:rFonts w:ascii="Arial" w:cs="Arial" w:eastAsia="Arial" w:hAnsi="Arial"/>
          <w:color w:val="000000"/>
          <w:sz w:val="22"/>
          <w:szCs w:val="22"/>
        </w:rPr>
        <w:t xml:space="preserve">Maps each source system's native metric name onto a canonical metric in the METRIC_CATALOGUE. This is where Prometheus's node_cpu_seconds_total, Zabbix's system.cpu.util, and IPMI's CPU Usage all converge into cpu_utilisation_pct with appropriate unit conversion expressions.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mapping_id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source metric mapping.</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METRIC_CATALOGUE</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Target canonical metric.</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system this mapping applies to.</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source_metric_name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 name as the source system reports it.</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source_metric_path</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JSONPath or label selector to extract the metric value from a complex payload.</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unit_conversion_expr</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Mathematical expression to convert source unit to canonical unit (e.g. value/1000 for W→kW).</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scale_factor</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Simple scale factor applied before unit_conversion_expr.</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entity_class_filter</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If set, this mapping only applies to entities of this entity_class.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created_at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creation timestamp.</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5.2.3 METRIC_DATAPOINT</w:t>
      </w:r>
    </w:p>
    <w:p>
      <w:pPr>
        <w:spacing w:before="80" w:after="120"/>
      </w:pPr>
      <w:r>
        <w:rPr>
          <w:rFonts w:ascii="Arial" w:cs="Arial" w:eastAsia="Arial" w:hAnsi="Arial"/>
          <w:color w:val="000000"/>
          <w:sz w:val="22"/>
          <w:szCs w:val="22"/>
        </w:rPr>
        <w:t xml:space="preserve">The primary TimescaleDB hypertable — automatically partitioned by event_ts. Every metric reading from every source lands here as a (entity_id, metric_id, value, event_ts) row. The dual-timestamp pattern (event_ts from the source clock, ingest_ts NTP-corrected) enables late data detection and handling, as mandated by the PRD's enrichment layer requirements.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 Part of the composite hypertable partition key.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this reading belongs to.</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entity_class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Denormalised entity_class for efficient partition-scoped queries.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METRIC_CATALOGUE</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metric identifier.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Source system that produced this reading.</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metric value in the canonical unit defined by METRIC_CATALOGUE.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event_ts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from the source system (may drift from NTP). TimescaleDB partition key.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ingest_ts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NTP-corrected pipeline receipt timestamp. Used for late data detection.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quality_flag</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VALID | INTERPOLATED | SUSPECT | LATE | OUT_OF_RANGE.</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5.2.4 METRIC_ROLLUP</w:t>
      </w:r>
    </w:p>
    <w:p>
      <w:pPr>
        <w:spacing w:before="80" w:after="120"/>
      </w:pPr>
      <w:r>
        <w:rPr>
          <w:rFonts w:ascii="Arial" w:cs="Arial" w:eastAsia="Arial" w:hAnsi="Arial"/>
          <w:color w:val="000000"/>
          <w:sz w:val="22"/>
          <w:szCs w:val="22"/>
        </w:rPr>
        <w:t xml:space="preserve">TimescaleDB continuous aggregate materialising METRIC_DATAPOINT into time-windowed statistics. One table replaces the previous design's separate RACK_METRIC_HOURLY, DEVICE_METRIC_HOURLY, and NETWORK_METRIC_HOURLY tables — any entity class and any metric rolls up into the same structure, keyed by (entity_id, metric_id, window_start, window_size). This is the primary training data source for the Prediction &amp; Capacity Agent.</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5360"/>
      </w:tblGrid>
      <w:tr>
        <w:trPr>
          <w:tblHeader/>
        </w:trPr>
        <w:tc>
          <w:tcPr>
            <w:tcW w:type="dxa" w:w="16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3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this rollup covers.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entity_class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Denormalised for query efficiency.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METRIC_CATALOGUE</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metric.</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window_start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Start of the aggregation window. TimescaleDB partition key.</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window_size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Window duration: 5m | 1h | 24h. Extensible without schema change.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avg_value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Average value of VALID readings within the window.</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min_value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Minimum observed value.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max_value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Maximum observed value.</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p50_value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50th percentile (median).</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p95_value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95th percentile — used for capacity headroom calculations.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p99_value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99th percentile — used for peak power threshold checks.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sample_count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Number of VALID data points in the window.</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quality_summary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CLEAN | PARTIAL (some SUSPECT readings) | SPARSE (low sample count) | STALE.</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5.2.5 METRIC_BASELINE and GRAPH_MUTATION_LOG</w:t>
      </w:r>
    </w:p>
    <w:p>
      <w:pPr>
        <w:spacing w:before="80" w:after="120"/>
      </w:pPr>
      <w:r>
        <w:rPr>
          <w:rFonts w:ascii="Arial" w:cs="Arial" w:eastAsia="Arial" w:hAnsi="Arial"/>
          <w:color w:val="000000"/>
          <w:sz w:val="22"/>
          <w:szCs w:val="22"/>
        </w:rPr>
        <w:t xml:space="preserve">METRIC_BASELINE stores learned statistical baselines (mean, stddev, percentiles) per entity per metric, computed daily by the continuous aggregation pipeline (P11). These baselines are consumed by the anomaly detection models (STL, Isolation Forest) to identify deviations. Critically, GRAPH_MUTATION_LOG entries are used to exclude baseline computation windows around structural changes — a rack layout change legitimately shifts power baselines and should not inflate the anomaly threshold.</w:t>
      </w:r>
    </w:p>
    <w:p>
      <w:pPr>
        <w:spacing w:before="80" w:after="120"/>
      </w:pPr>
      <w:r>
        <w:rPr>
          <w:rFonts w:ascii="Arial" w:cs="Arial" w:eastAsia="Arial" w:hAnsi="Arial"/>
          <w:color w:val="000000"/>
          <w:sz w:val="22"/>
          <w:szCs w:val="22"/>
        </w:rPr>
        <w:t xml:space="preserve">GRAPH_MUTATION_LOG is the TimescaleDB materialisation of the graph.mutations Kafka topic. Every Neo4j write by graph-updater-service produces a record here, enabling time-travel queries for post-incident analysis — reconstructing the graph state at any point in time.</w:t>
      </w:r>
    </w:p>
    <w:p>
      <w:r>
        <w:br w:type="page"/>
      </w:r>
    </w:p>
    <w:p>
      <w:pPr>
        <w:pStyle w:val="Heading1"/>
        <w:spacing w:before="480" w:after="200"/>
      </w:pPr>
      <w:bookmarkStart w:name="layer4" w:id="1"/>
      <w:r>
        <w:rPr>
          <w:rFonts w:ascii="Arial" w:cs="Arial" w:eastAsia="Arial" w:hAnsi="Arial"/>
          <w:b/>
          <w:bCs/>
          <w:color w:val="0D1B2A"/>
          <w:sz w:val="32"/>
          <w:szCs w:val="32"/>
        </w:rPr>
        <w:t xml:space="preserve">6. Layer 4 — Agent Outputs &amp; Operations</w:t>
      </w:r>
      <w:bookmarkEnd w:id="1"/>
    </w:p>
    <w:p>
      <w:pPr>
        <w:spacing w:before="80" w:after="120"/>
      </w:pPr>
      <w:r>
        <w:rPr>
          <w:rFonts w:ascii="Arial" w:cs="Arial" w:eastAsia="Arial" w:hAnsi="Arial"/>
          <w:color w:val="000000"/>
          <w:sz w:val="22"/>
          <w:szCs w:val="22"/>
        </w:rPr>
        <w:t xml:space="preserve">Layer 4 captures the outputs of all five AI agents, plus the operational entities needed for governance, RBAC, audit, and ITSM integration. These entities represent the value delivered by the platform to NOC operators: drift events, classified device types, correlated incidents, capacity forecasts, anomaly flags, failure probabilities, and simulation results.</w:t>
      </w:r>
    </w:p>
    <w:p>
      <w:pPr>
        <w:spacing w:before="80" w:after="120"/>
      </w:pPr>
      <w:r>
        <w:rPr>
          <w:rFonts w:ascii="Arial" w:cs="Arial" w:eastAsia="Arial" w:hAnsi="Arial"/>
          <w:color w:val="000000"/>
          <w:sz w:val="22"/>
          <w:szCs w:val="22"/>
        </w:rPr>
        <w:t xml:space="preserve">All agent output entities carry an mlflow_run_id field that references the MLflow model registry run that produced the output. Since the user confirmed that MLflow owns model governance fully, MODEL_REGISTRY as a relational entity is not included in this model — MLflow's run ID is the traceability link.</w:t>
      </w:r>
    </w:p>
    <w:p>
      <w:pPr>
        <w:pStyle w:val="Heading2"/>
        <w:spacing w:before="320" w:after="160"/>
      </w:pPr>
      <w:bookmarkStart w:name="erd4" w:id="1"/>
      <w:r>
        <w:rPr>
          <w:rFonts w:ascii="Arial" w:cs="Arial" w:eastAsia="Arial" w:hAnsi="Arial"/>
          <w:b/>
          <w:bCs/>
          <w:color w:val="1E3A4C"/>
          <w:sz w:val="26"/>
          <w:szCs w:val="26"/>
        </w:rPr>
        <w:t xml:space="preserve">6.1 ERD 4 — Agent Output Entities</w:t>
      </w:r>
      <w:bookmarkEnd w:id="1"/>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B91C1C" w:sz="8"/>
              <w:left w:val="single" w:color="B91C1C" w:sz="8"/>
              <w:bottom w:val="single" w:color="B91C1C" w:sz="8"/>
              <w:right w:val="single" w:color="B91C1C" w:sz="8"/>
            </w:tcBorders>
            <w:shd w:fill="B91C1C" w:val="clear"/>
            <w:tcMar>
              <w:top w:type="dxa" w:w="120"/>
              <w:left w:type="dxa" w:w="180"/>
              <w:bottom w:type="dxa" w:w="120"/>
              <w:right w:type="dxa" w:w="180"/>
            </w:tcMar>
          </w:tcPr>
          <w:p>
            <w:pPr>
              <w:spacing w:before="0" w:after="40"/>
            </w:pPr>
            <w:r>
              <w:rPr>
                <w:rFonts w:ascii="Arial" w:cs="Arial" w:eastAsia="Arial" w:hAnsi="Arial"/>
                <w:b/>
                <w:bCs/>
                <w:color w:val="FFFFFF"/>
                <w:sz w:val="24"/>
                <w:szCs w:val="24"/>
              </w:rPr>
              <w:t xml:space="preserve">ERD 4 — Agent Output Entities &amp; Operations</w:t>
            </w:r>
          </w:p>
          <w:p>
            <w:pPr>
              <w:spacing w:before="0" w:after="0"/>
            </w:pPr>
            <w:r>
              <w:rPr>
                <w:rFonts w:ascii="Arial" w:cs="Arial" w:eastAsia="Arial" w:hAnsi="Arial"/>
                <w:color w:val="D0F0F8"/>
                <w:sz w:val="18"/>
                <w:szCs w:val="18"/>
              </w:rPr>
              <w:t xml:space="preserve">All three phases: Phase 1 drift/classification, Phase 2 incidents/forecasts, Phase 3 simulation. Plus RBAC and audit.</w:t>
            </w:r>
          </w:p>
        </w:tc>
      </w:tr>
      <w:tr>
        <w:tc>
          <w:tcPr>
            <w:gridSpan w:val="2"/>
            <w:tcBorders>
              <w:top w:val="none" w:color="FFFFFF" w:sz="0"/>
              <w:left w:val="single" w:color="B91C1C" w:sz="8"/>
              <w:bottom w:val="single" w:color="B91C1C" w:sz="4"/>
              <w:right w:val="single" w:color="B91C1C" w:sz="8"/>
            </w:tcBorders>
            <w:shd w:fill="FEF2F2" w:val="clear"/>
            <w:tcMar>
              <w:top w:type="dxa" w:w="80"/>
              <w:left w:type="dxa" w:w="180"/>
              <w:bottom w:type="dxa" w:w="80"/>
              <w:right w:type="dxa" w:w="180"/>
            </w:tcMar>
          </w:tcPr>
          <w:p>
            <w:pPr>
              <w:spacing w:before="80" w:after="120"/>
            </w:pPr>
            <w:r>
              <w:rPr>
                <w:rFonts w:ascii="Arial" w:cs="Arial" w:eastAsia="Arial" w:hAnsi="Arial"/>
                <w:b/>
                <w:bCs/>
                <w:color w:val="1E3A4C"/>
                <w:sz w:val="20"/>
                <w:szCs w:val="20"/>
              </w:rPr>
              <w:t xml:space="preserve">Layer: </w:t>
            </w:r>
            <w:r>
              <w:rPr>
                <w:rFonts w:ascii="Arial" w:cs="Arial" w:eastAsia="Arial" w:hAnsi="Arial"/>
                <w:color w:val="B91C1C"/>
                <w:sz w:val="20"/>
                <w:szCs w:val="20"/>
              </w:rPr>
              <w:t xml:space="preserve">Layer 4 · PostgreSQL + Neo4j proposed namespace</w:t>
            </w:r>
            <w:r>
              <w:rPr>
                <w:rFonts w:ascii="Arial" w:cs="Arial" w:eastAsia="Arial" w:hAnsi="Arial"/>
                <w:color w:val="1E3A4C"/>
                <w:sz w:val="20"/>
                <w:szCs w:val="20"/>
              </w:rPr>
              <w:t xml:space="preserve">  |  Interactive HTML: </w:t>
            </w:r>
            <w:hyperlink w:history="1" r:id="rIdaj9oqf7psbg1dojnua1dd">
              <w:r>
                <w:rPr>
                  <w:rFonts w:ascii="Arial" w:cs="Arial" w:eastAsia="Arial" w:hAnsi="Arial"/>
                  <w:color w:val="0891B2"/>
                  <w:sz w:val="20"/>
                  <w:szCs w:val="20"/>
                  <w:u w:val="single" w:color="0891B2"/>
                </w:rPr>
                <w:t xml:space="preserve">erd4_agent_outputs.html</w:t>
              </w:r>
            </w:hyperlink>
          </w:p>
        </w:tc>
      </w:tr>
      <w:tr>
        <w:tc>
          <w:tcPr>
            <w:tcW w:type="dxa" w:w="4680"/>
            <w:tcBorders>
              <w:top w:val="none" w:color="FFFFFF" w:sz="0"/>
              <w:left w:val="single" w:color="B91C1C" w:sz="8"/>
              <w:bottom w:val="single" w:color="E2E8F0" w:sz="2"/>
              <w:right w:val="single" w:color="E2E8F0" w:sz="2"/>
            </w:tcBorders>
            <w:shd w:fill="FEF2F2"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DRIFT_EVENT</w:t>
            </w:r>
          </w:p>
        </w:tc>
        <w:tc>
          <w:tcPr>
            <w:tcW w:type="dxa" w:w="4680"/>
            <w:tcBorders>
              <w:top w:val="none" w:color="FFFFFF" w:sz="0"/>
              <w:left w:val="single" w:color="E2E8F0" w:sz="2"/>
              <w:bottom w:val="single" w:color="E2E8F0" w:sz="2"/>
              <w:right w:val="single" w:color="B91C1C" w:sz="8"/>
            </w:tcBorders>
            <w:shd w:fill="FEF2F2"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DRIFT_SUGGESTION</w:t>
            </w:r>
          </w:p>
        </w:tc>
      </w:tr>
      <w:tr>
        <w:tc>
          <w:tcPr>
            <w:tcW w:type="dxa" w:w="4680"/>
            <w:tcBorders>
              <w:top w:val="none" w:color="FFFFFF" w:sz="0"/>
              <w:left w:val="single" w:color="B91C1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CLASSIFICATION_RESULT</w:t>
            </w:r>
          </w:p>
        </w:tc>
        <w:tc>
          <w:tcPr>
            <w:tcW w:type="dxa" w:w="4680"/>
            <w:tcBorders>
              <w:top w:val="none" w:color="FFFFFF" w:sz="0"/>
              <w:left w:val="single" w:color="E2E8F0" w:sz="2"/>
              <w:bottom w:val="single" w:color="E2E8F0" w:sz="2"/>
              <w:right w:val="single" w:color="B91C1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CORRELATED_INCIDENT</w:t>
            </w:r>
          </w:p>
        </w:tc>
      </w:tr>
      <w:tr>
        <w:tc>
          <w:tcPr>
            <w:tcW w:type="dxa" w:w="4680"/>
            <w:tcBorders>
              <w:top w:val="none" w:color="FFFFFF" w:sz="0"/>
              <w:left w:val="single" w:color="B91C1C" w:sz="8"/>
              <w:bottom w:val="single" w:color="E2E8F0" w:sz="2"/>
              <w:right w:val="single" w:color="E2E8F0" w:sz="2"/>
            </w:tcBorders>
            <w:shd w:fill="FEF2F2"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CAPACITY_FORECAST</w:t>
            </w:r>
          </w:p>
        </w:tc>
        <w:tc>
          <w:tcPr>
            <w:tcW w:type="dxa" w:w="4680"/>
            <w:tcBorders>
              <w:top w:val="none" w:color="FFFFFF" w:sz="0"/>
              <w:left w:val="single" w:color="E2E8F0" w:sz="2"/>
              <w:bottom w:val="single" w:color="E2E8F0" w:sz="2"/>
              <w:right w:val="single" w:color="B91C1C" w:sz="8"/>
            </w:tcBorders>
            <w:shd w:fill="FEF2F2"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ANOMALY_FLAG</w:t>
            </w:r>
          </w:p>
        </w:tc>
      </w:tr>
      <w:tr>
        <w:tc>
          <w:tcPr>
            <w:tcW w:type="dxa" w:w="4680"/>
            <w:tcBorders>
              <w:top w:val="none" w:color="FFFFFF" w:sz="0"/>
              <w:left w:val="single" w:color="B91C1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FAILURE_PROBABILITY</w:t>
            </w:r>
          </w:p>
        </w:tc>
        <w:tc>
          <w:tcPr>
            <w:tcW w:type="dxa" w:w="4680"/>
            <w:tcBorders>
              <w:top w:val="none" w:color="FFFFFF" w:sz="0"/>
              <w:left w:val="single" w:color="E2E8F0" w:sz="2"/>
              <w:bottom w:val="single" w:color="E2E8F0" w:sz="2"/>
              <w:right w:val="single" w:color="B91C1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SIMULATION_SCENARIO</w:t>
            </w:r>
          </w:p>
        </w:tc>
      </w:tr>
      <w:tr>
        <w:tc>
          <w:tcPr>
            <w:tcW w:type="dxa" w:w="4680"/>
            <w:tcBorders>
              <w:top w:val="none" w:color="FFFFFF" w:sz="0"/>
              <w:left w:val="single" w:color="B91C1C" w:sz="8"/>
              <w:bottom w:val="single" w:color="E2E8F0" w:sz="2"/>
              <w:right w:val="single" w:color="E2E8F0" w:sz="2"/>
            </w:tcBorders>
            <w:shd w:fill="FEF2F2"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SIMULATION_RESULT</w:t>
            </w:r>
          </w:p>
        </w:tc>
        <w:tc>
          <w:tcPr>
            <w:tcW w:type="dxa" w:w="4680"/>
            <w:tcBorders>
              <w:top w:val="none" w:color="FFFFFF" w:sz="0"/>
              <w:left w:val="single" w:color="E2E8F0" w:sz="2"/>
              <w:bottom w:val="single" w:color="E2E8F0" w:sz="2"/>
              <w:right w:val="single" w:color="B91C1C" w:sz="8"/>
            </w:tcBorders>
            <w:shd w:fill="FEF2F2"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NODE_QUALITY_SCORE</w:t>
            </w:r>
          </w:p>
        </w:tc>
      </w:tr>
      <w:tr>
        <w:tc>
          <w:tcPr>
            <w:tcW w:type="dxa" w:w="4680"/>
            <w:tcBorders>
              <w:top w:val="none" w:color="FFFFFF" w:sz="0"/>
              <w:left w:val="single" w:color="B91C1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USER</w:t>
            </w:r>
          </w:p>
        </w:tc>
        <w:tc>
          <w:tcPr>
            <w:tcW w:type="dxa" w:w="4680"/>
            <w:tcBorders>
              <w:top w:val="none" w:color="FFFFFF" w:sz="0"/>
              <w:left w:val="single" w:color="E2E8F0" w:sz="2"/>
              <w:bottom w:val="single" w:color="E2E8F0" w:sz="2"/>
              <w:right w:val="single" w:color="B91C1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AUDIT_LOG_ENTRY</w:t>
            </w:r>
          </w:p>
        </w:tc>
      </w:tr>
      <w:tr>
        <w:tc>
          <w:tcPr>
            <w:tcW w:type="dxa" w:w="4680"/>
            <w:tcBorders>
              <w:top w:val="none" w:color="FFFFFF" w:sz="0"/>
              <w:left w:val="single" w:color="B91C1C" w:sz="8"/>
              <w:bottom w:val="single" w:color="E2E8F0" w:sz="2"/>
              <w:right w:val="single" w:color="E2E8F0" w:sz="2"/>
            </w:tcBorders>
            <w:shd w:fill="FEF2F2"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ITSM_INTEGRATION_CONFIG</w:t>
            </w:r>
          </w:p>
        </w:tc>
        <w:tc>
          <w:tcPr>
            <w:tcW w:type="dxa" w:w="4680"/>
            <w:tcBorders>
              <w:top w:val="none" w:color="FFFFFF" w:sz="0"/>
              <w:left w:val="single" w:color="E2E8F0" w:sz="2"/>
              <w:bottom w:val="single" w:color="E2E8F0" w:sz="2"/>
              <w:right w:val="single" w:color="B91C1C" w:sz="8"/>
            </w:tcBorders>
            <w:shd w:fill="FEF2F2"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w:r>
          </w:p>
        </w:tc>
      </w:tr>
      <w:tr>
        <w:tc>
          <w:tcPr>
            <w:gridSpan w:val="2"/>
            <w:tcBorders>
              <w:top w:val="single" w:color="E2E8F0" w:sz="2"/>
              <w:left w:val="single" w:color="B91C1C" w:sz="8"/>
              <w:bottom w:val="single" w:color="B91C1C" w:sz="8"/>
              <w:right w:val="single" w:color="B91C1C" w:sz="8"/>
            </w:tcBorders>
            <w:shd w:fill="F1F5F9" w:val="clear"/>
            <w:tcMar>
              <w:top w:type="dxa" w:w="100"/>
              <w:left w:type="dxa" w:w="180"/>
              <w:bottom w:type="dxa" w:w="100"/>
              <w:right w:type="dxa" w:w="180"/>
            </w:tcMar>
          </w:tcPr>
          <w:p>
            <w:pPr>
              <w:spacing w:before="0" w:after="0"/>
            </w:pPr>
            <w:r>
              <w:rPr>
                <w:rFonts w:ascii="Arial" w:cs="Arial" w:eastAsia="Arial" w:hAnsi="Arial"/>
                <w:b/>
                <w:bCs/>
                <w:color w:val="D97706"/>
                <w:sz w:val="19"/>
                <w:szCs w:val="19"/>
              </w:rPr>
              <w:t xml:space="preserve">⚡ Interactive version: </w:t>
            </w:r>
            <w:r>
              <w:rPr>
                <w:rFonts w:ascii="Arial" w:cs="Arial" w:eastAsia="Arial" w:hAnsi="Arial"/>
                <w:color w:val="1E3A4C"/>
                <w:sz w:val="19"/>
                <w:szCs w:val="19"/>
              </w:rPr>
              <w:t xml:space="preserve">Open erd4_agent_outputs.html in any browser for fully zoomable, pannable ERD with scroll-to-zoom and drag-to-pan. </w:t>
            </w:r>
            <w:r>
              <w:rPr>
                <w:rFonts w:ascii="Arial" w:cs="Arial" w:eastAsia="Arial" w:hAnsi="Arial"/>
                <w:color w:val="1E3A4C"/>
                <w:sz w:val="19"/>
                <w:szCs w:val="19"/>
              </w:rPr>
              <w:t xml:space="preserve">The HTML file is included in the companion zip alongside this document.</w:t>
            </w:r>
          </w:p>
        </w:tc>
      </w:tr>
    </w:tbl>
    <w:p>
      <w:pPr>
        <w:spacing w:before="80" w:after="200"/>
        <w:jc w:val="center"/>
      </w:pPr>
      <w:r>
        <w:rPr>
          <w:rFonts w:ascii="Arial" w:cs="Arial" w:eastAsia="Arial" w:hAnsi="Arial"/>
          <w:i/>
          <w:iCs/>
          <w:color w:val="64748B"/>
          <w:sz w:val="18"/>
          <w:szCs w:val="18"/>
        </w:rPr>
        <w:t xml:space="preserve">Figure 4: Agent Output Entities ERD. Open erd4_agent_outputs.html for interactive zoom/pan.</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6.2 Phase 1 Agent Outputs</w:t>
      </w:r>
    </w:p>
    <w:p>
      <w:pPr>
        <w:pStyle w:val="Heading3"/>
        <w:spacing w:before="240" w:after="120"/>
      </w:pPr>
      <w:r>
        <w:rPr>
          <w:rFonts w:ascii="Arial" w:cs="Arial" w:eastAsia="Arial" w:hAnsi="Arial"/>
          <w:b/>
          <w:bCs/>
          <w:color w:val="0891B2"/>
          <w:sz w:val="22"/>
          <w:szCs w:val="22"/>
        </w:rPr>
        <w:t xml:space="preserve">6.2.1 DRIFT_EVENT</w:t>
      </w:r>
    </w:p>
    <w:p>
      <w:pPr>
        <w:spacing w:before="80" w:after="120"/>
      </w:pPr>
      <w:r>
        <w:rPr>
          <w:rFonts w:ascii="Arial" w:cs="Arial" w:eastAsia="Arial" w:hAnsi="Arial"/>
          <w:color w:val="000000"/>
          <w:sz w:val="22"/>
          <w:szCs w:val="22"/>
        </w:rPr>
        <w:t xml:space="preserve">The primary output of the topology-reconciliation-agent. Generated when a discrepancy is detected between any two source representations of the same entity — DCIM vs discovery, DCIM vs manual record, or two different DCIM systems. Unlike the previous model which used string fields for dcim_state and discovered_state, this model uses source_a_id and source_b_id as foreign keys into SOURCE_SYSTEM, making the comparison fully traceable.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drift_id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drift event.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drift_type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VARCHAR(60)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MISSING_IN_DCIM | MISSING_IN_REALITY | POSITION_MISMATCH | POWER_PATH_MISMATCH | ATTRIBUTE_CONFLICT | CAPACITY_DISCREPANCY.</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severity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CRITICAL | MAJOR | MINOR. Classified by operational significance (FR-TR-03).</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affected_entity_id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canonical entity where the drift was detected.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affected_entity_class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Denormalised entity_class for query efficiency.</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source_a_id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First source (typically DCIM) — the 'as-designed' state.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source_a_state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JSON snapshot of the entity state as recorded by source A.</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source_b_id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SOURCE_SYSTEM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Second source (typically discovery) — the 'as-discovered' state.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source_b_state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JSON snapshot of the entity state as recorded by source B.</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conflict_field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The specific canonical field or attribute_key where the conflict exists.</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description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description of the drift, generated by the reconciliation agent.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detection_confidence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Agent confidence in this drift detection. Precision target &gt;90% (Section 8).</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OPEN | ACCEPTED | DISMISSED | ESCALATED | RESOLVED.</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agent_version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Version of the topology-reconciliation-agent that generated this event.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detected_at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drift detection.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resolved_at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resolution. NULL if still open.</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6.2.2 CLASSIFICATION_RESULT</w:t>
      </w:r>
    </w:p>
    <w:p>
      <w:pPr>
        <w:spacing w:before="80" w:after="120"/>
      </w:pPr>
      <w:r>
        <w:rPr>
          <w:rFonts w:ascii="Arial" w:cs="Arial" w:eastAsia="Arial" w:hAnsi="Arial"/>
          <w:color w:val="000000"/>
          <w:sz w:val="22"/>
          <w:szCs w:val="22"/>
        </w:rPr>
        <w:t xml:space="preserve">Output of the classification-capability-agent. Stores the inferred device type and capabilities for each entity discovered by active scanning. The operator_feedback field implements the supervised retraining loop — when a NOC operator corrects a classification via the NOC frontend, that correction is stored here and queued for the next M1/M2 model retraining run.</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result_id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classification result.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that was classified.</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inferred_entity_type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Inferred canonical_type (e.g. ToR-Switch, CRAC, GPU-Server, UPS-N+1).</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capability_flags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Key-value pairs of inferred capabilities: {'routing_enabled':true, 'poe_capable':false, 'redundant_psu':true}.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confidence_score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Model confidence. Results below configurable threshold set needs_review=true (FR-CC-03).</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needs_review</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True if confidence_score is below the review threshold. Surfaced in NOC drift dashboard.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evidence_signals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List of signal types and values that contributed to this classification decision.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mlflow_run_id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MLflow run ID for the model version that produced this classification.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classified_at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classification.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operator_feedback</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VARCHAR(80)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Operator-corrected canonical_type. NULL until operator submits correction.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feedback_by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USER</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User who submitted the correction.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feedback_at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timestamp of operator feedback submission.</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6.3 Phase 2 Agent Outputs</w:t>
      </w:r>
    </w:p>
    <w:p>
      <w:pPr>
        <w:pStyle w:val="Heading3"/>
        <w:spacing w:before="240" w:after="120"/>
      </w:pPr>
      <w:r>
        <w:rPr>
          <w:rFonts w:ascii="Arial" w:cs="Arial" w:eastAsia="Arial" w:hAnsi="Arial"/>
          <w:b/>
          <w:bCs/>
          <w:color w:val="0891B2"/>
          <w:sz w:val="22"/>
          <w:szCs w:val="22"/>
        </w:rPr>
        <w:t xml:space="preserve">6.3.1 CORRELATED_INCIDENT</w:t>
      </w:r>
    </w:p>
    <w:p>
      <w:pPr>
        <w:spacing w:before="80" w:after="120"/>
      </w:pPr>
      <w:r>
        <w:rPr>
          <w:rFonts w:ascii="Arial" w:cs="Arial" w:eastAsia="Arial" w:hAnsi="Arial"/>
          <w:color w:val="000000"/>
          <w:sz w:val="22"/>
          <w:szCs w:val="22"/>
        </w:rPr>
        <w:t xml:space="preserve">The output of the correlation-root-cause-agent. Groups co-occurring alerts into a single incident record with a root cause identification and confidence score. The is_false_positive and operator_verdict fields implement the feedback loop that enables continuous model improvement. The PRD mandates a false positive rate below 15% over a rolling 7-day window (NFR-16), and this entity is what makes that measurement possible.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incident_id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canonical incident identifier. Stable across root cause updates.</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root_cause_entity_id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entity identified as the root cause.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root_cause_entity_class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Denormalised entity_class of the root cause.</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root_cause_label</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root cause description (e.g. 'PDU-A power feed failure').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confidence_score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0.0–1.0</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Agent confidence in the root cause identification.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evidence_entity_ids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Array of entity_ids whose alert patterns support this root cause determination.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contributing_alert_ids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JSON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Array of ALERT_EVENT alert_ids grouped under this incident.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affected_entity_count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Total entities with active alerts attributable to this incident.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severity</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CRITICAL | HIGH | MEDIUM | LOW. Derived from the highest severity alert in the cluster.</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status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DETECTED | INVESTIGATING | MITIGATING | RESOLVED | FALSE_POSITIVE.</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narrative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TEXT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AI-generated incident narrative with causal chain explanation (FR-RCA-05).</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mlflow_run_id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MLflow run ID for the correlation model that produced this incident.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first_event_at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of the earliest contributing alert event.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detected_at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when the correlation agent created this incident.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resolved_at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UTC resolution timestamp. NULL if still open.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operator_verdict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Operator feedback: CONFIRMED | FALSE_POSITIVE | PARTIALLY_CORRECT | ROOT_CAUSE_WRONG.</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is_false_positive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True if operator_verdict is FALSE_POSITIVE. Used for rolling FP rate computation.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itsm_ticket_ref</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ServiceNow or Jira ticket reference. Populated by eventing-integration-service after creation.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agent_version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Version of the correlation-root-cause-agent.</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6.3.2 CAPACITY_FORECAST</w:t>
      </w:r>
    </w:p>
    <w:p>
      <w:pPr>
        <w:spacing w:before="80" w:after="120"/>
      </w:pPr>
      <w:r>
        <w:rPr>
          <w:rFonts w:ascii="Arial" w:cs="Arial" w:eastAsia="Arial" w:hAnsi="Arial"/>
          <w:color w:val="000000"/>
          <w:sz w:val="22"/>
          <w:szCs w:val="22"/>
        </w:rPr>
        <w:t xml:space="preserve">Output of the Prediction &amp; Capacity Agent for time-series forecasts. Covers power, cooling, rack space, and network bandwidth at rack, row, and facility scope levels. Each row represents one prediction for one entity for one metric at one horizon. The exhaustion_flag is set when predicted_value exceeds the CAPACITY_SPEC.usable_value for that metric dimension. The PRD target is MAPE &lt; 10% at the 30-day horizon (NFR-17).</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Attribute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12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Constraint</w:t>
            </w:r>
          </w:p>
        </w:tc>
        <w:tc>
          <w:tcPr>
            <w:tcW w:type="dxa" w:w="51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Description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forecast_id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PK</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Unique identifier for this forecast record.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tenant_id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TENANT</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Owning tenant.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INFRASTRUCTURE_ENTITY</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this forecast applies to.</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entity_class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Denormalised entity_class.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scope_level</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RACK | ROW | DATA_CENTER | SITE. Determines the aggregation scope of the forecast.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metric_id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UUID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FK → METRIC_CATALOGUE</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Canonical metric being forecast.</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generated_at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Timestamp when the inference job produced this forecast.</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horizon_ts</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TIMESTAMPTZ</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Future timestamp this prediction is for.</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horizon_label</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VARCHAR(20)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ENUM</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Human-readable horizon: 7d | 30d | 90d.</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predicted_value</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Point estimate of the metric value at horizon_ts.</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predicted_lower</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Lower bound of the 90% prediction interval.</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predicted_upper</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Upper bound of the 90% prediction interval.</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unit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VARCHAR(30)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Unit matching METRIC_CATALOGUE.unit for this metric.</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exhaustion_flag</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NOT NULL</w:t>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True when predicted_value &gt;= CAPACITY_SPEC.usable_value for this metric dimension.</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model_mape</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FLOAT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Rolling MAPE of this model at this horizon, from the most recent evaluation.</w:t>
            </w:r>
          </w:p>
        </w:tc>
      </w:tr>
      <w:tr>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mlflow_run_id</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VARCHAR(120)</w:t>
            </w:r>
          </w:p>
        </w:tc>
        <w:tc>
          <w:tcPr>
            <w:tcW w:type="dxa" w:w="1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MLflow run ID for the forecasting model.</w:t>
            </w:r>
          </w:p>
        </w:tc>
      </w:tr>
      <w:tr>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agent_version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VARCHAR(40)</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Version of the prediction-capacity-agent.</w:t>
            </w:r>
          </w:p>
        </w:tc>
      </w:tr>
    </w:tbl>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6.3.3 ANOMALY_FLAG, FAILURE_PROBABILITY</w:t>
      </w:r>
    </w:p>
    <w:p>
      <w:pPr>
        <w:spacing w:before="80" w:after="120"/>
      </w:pPr>
      <w:r>
        <w:rPr>
          <w:rFonts w:ascii="Arial" w:cs="Arial" w:eastAsia="Arial" w:hAnsi="Arial"/>
          <w:color w:val="000000"/>
          <w:sz w:val="22"/>
          <w:szCs w:val="22"/>
        </w:rPr>
        <w:t xml:space="preserve">ANOMALY_FLAG records statistically significant deviations from METRIC_BASELINE values, detected by STL decomposition (univariate) and Isolation Forest (multivariate). The deviation_sigma field expresses how many standard deviations the observed value is from the baseline mean — values above 3σ are typically flagged as anomalies.</w:t>
      </w:r>
    </w:p>
    <w:p>
      <w:pPr>
        <w:spacing w:before="80" w:after="120"/>
      </w:pPr>
      <w:r>
        <w:rPr>
          <w:rFonts w:ascii="Arial" w:cs="Arial" w:eastAsia="Arial" w:hAnsi="Arial"/>
          <w:color w:val="000000"/>
          <w:sz w:val="22"/>
          <w:szCs w:val="22"/>
        </w:rPr>
        <w:t xml:space="preserve">FAILURE_PROBABILITY stores per-device hardware failure probability scores computed by the Cox Proportional Hazards survival model (M7). The contributing_factors JSON captures which features drove the score — thermal history, age, error rate trend — enabling explainable AI output as required by NFR-18.</w:t>
      </w:r>
    </w:p>
    <w:p>
      <w:pPr>
        <w:pStyle w:val="Heading2"/>
        <w:spacing w:before="320" w:after="160"/>
      </w:pPr>
      <w:r>
        <w:rPr>
          <w:rFonts w:ascii="Arial" w:cs="Arial" w:eastAsia="Arial" w:hAnsi="Arial"/>
          <w:b/>
          <w:bCs/>
          <w:color w:val="1E3A4C"/>
          <w:sz w:val="26"/>
          <w:szCs w:val="26"/>
        </w:rPr>
        <w:t xml:space="preserve">6.4 Phase 3 Agent Outputs</w:t>
      </w:r>
    </w:p>
    <w:p>
      <w:pPr>
        <w:pStyle w:val="Heading3"/>
        <w:spacing w:before="240" w:after="120"/>
      </w:pPr>
      <w:r>
        <w:rPr>
          <w:rFonts w:ascii="Arial" w:cs="Arial" w:eastAsia="Arial" w:hAnsi="Arial"/>
          <w:b/>
          <w:bCs/>
          <w:color w:val="0891B2"/>
          <w:sz w:val="22"/>
          <w:szCs w:val="22"/>
        </w:rPr>
        <w:t xml:space="preserve">6.4.1 SIMULATION_SCENARIO and SIMULATION_RESULT</w:t>
      </w:r>
    </w:p>
    <w:p>
      <w:pPr>
        <w:spacing w:before="80" w:after="120"/>
      </w:pPr>
      <w:r>
        <w:rPr>
          <w:rFonts w:ascii="Arial" w:cs="Arial" w:eastAsia="Arial" w:hAnsi="Arial"/>
          <w:color w:val="000000"/>
          <w:sz w:val="22"/>
          <w:szCs w:val="22"/>
        </w:rPr>
        <w:t xml:space="preserve">SIMULATION_SCENARIO captures the operator-defined what-if scenario: the target entity, failure or change mode, and optionally chained steps for multi-step simulations (FR-WI-04). The is_saved flag allows scenarios to be persisted for CAB review workflows (FR-UI-11).</w:t>
      </w:r>
    </w:p>
    <w:p>
      <w:pPr>
        <w:spacing w:before="80" w:after="120"/>
      </w:pPr>
      <w:r>
        <w:rPr>
          <w:rFonts w:ascii="Arial" w:cs="Arial" w:eastAsia="Arial" w:hAnsi="Arial"/>
          <w:color w:val="000000"/>
          <w:sz w:val="22"/>
          <w:szCs w:val="22"/>
        </w:rPr>
        <w:t xml:space="preserve">SIMULATION_RESULT stores the outcome of a simulation run. Critically, the graph_snapshot_ref field points to a read-only forked snapshot of the Neo4j graph — simulations never modify live graph state (FR-WI-05). The impact_severity_map JSON contains per-entity severity assessments, and estimated_degradation_pct provides the overall service impact estimate from the Monte Carlo sampling.</w:t>
      </w:r>
    </w:p>
    <w:p>
      <w:pPr>
        <w:pStyle w:val="Heading2"/>
        <w:spacing w:before="320" w:after="160"/>
      </w:pPr>
      <w:r>
        <w:rPr>
          <w:rFonts w:ascii="Arial" w:cs="Arial" w:eastAsia="Arial" w:hAnsi="Arial"/>
          <w:b/>
          <w:bCs/>
          <w:color w:val="1E3A4C"/>
          <w:sz w:val="26"/>
          <w:szCs w:val="26"/>
        </w:rPr>
        <w:t xml:space="preserve">6.5 Operational Entities</w:t>
      </w:r>
    </w:p>
    <w:p>
      <w:pPr>
        <w:pStyle w:val="Heading3"/>
        <w:spacing w:before="240" w:after="120"/>
      </w:pPr>
      <w:r>
        <w:rPr>
          <w:rFonts w:ascii="Arial" w:cs="Arial" w:eastAsia="Arial" w:hAnsi="Arial"/>
          <w:b/>
          <w:bCs/>
          <w:color w:val="0891B2"/>
          <w:sz w:val="22"/>
          <w:szCs w:val="22"/>
        </w:rPr>
        <w:t xml:space="preserve">6.5.1 USER and AUDIT_LOG_ENTRY</w:t>
      </w:r>
    </w:p>
    <w:p>
      <w:pPr>
        <w:spacing w:before="80" w:after="120"/>
      </w:pPr>
      <w:r>
        <w:rPr>
          <w:rFonts w:ascii="Arial" w:cs="Arial" w:eastAsia="Arial" w:hAnsi="Arial"/>
          <w:color w:val="000000"/>
          <w:sz w:val="22"/>
          <w:szCs w:val="22"/>
        </w:rPr>
        <w:t xml:space="preserve">USER implements the four RBAC roles defined in SEC-02: NOC_OPERATOR (read + feedback), CHANGE_MANAGER (read + simulation), DC_ADMIN (read + write entity attributes + approve drift suggestions), and PLATFORM_ADMIN (full access including tenant management and source system configuration).</w:t>
      </w:r>
    </w:p>
    <w:p>
      <w:pPr>
        <w:spacing w:before="80" w:after="120"/>
      </w:pPr>
      <w:r>
        <w:rPr>
          <w:rFonts w:ascii="Arial" w:cs="Arial" w:eastAsia="Arial" w:hAnsi="Arial"/>
          <w:color w:val="000000"/>
          <w:sz w:val="22"/>
          <w:szCs w:val="22"/>
        </w:rPr>
        <w:t xml:space="preserve">AUDIT_LOG_ENTRY records every user action, API call, and AI agent decision with user identity, timestamp, resource type and ID, IP address, and change payload. The is_immutable flag enforces the 12-month retention requirement (NFR-14, SEC-01). The audit log is append-only — no update or delete operations are permitted on existing records.</w:t>
      </w:r>
    </w:p>
    <w:p>
      <w:r>
        <w:br w:type="page"/>
      </w:r>
    </w:p>
    <w:p>
      <w:pPr>
        <w:pStyle w:val="Heading1"/>
        <w:spacing w:before="480" w:after="200"/>
      </w:pPr>
      <w:bookmarkStart w:name="source-mapping" w:id="1"/>
      <w:r>
        <w:rPr>
          <w:rFonts w:ascii="Arial" w:cs="Arial" w:eastAsia="Arial" w:hAnsi="Arial"/>
          <w:b/>
          <w:bCs/>
          <w:color w:val="0D1B2A"/>
          <w:sz w:val="32"/>
          <w:szCs w:val="32"/>
        </w:rPr>
        <w:t xml:space="preserve">7. Source Mapping Examples</w:t>
      </w:r>
      <w:bookmarkEnd w:id="1"/>
    </w:p>
    <w:p>
      <w:pPr>
        <w:spacing w:before="80" w:after="120"/>
      </w:pPr>
      <w:r>
        <w:rPr>
          <w:rFonts w:ascii="Arial" w:cs="Arial" w:eastAsia="Arial" w:hAnsi="Arial"/>
          <w:color w:val="000000"/>
          <w:sz w:val="22"/>
          <w:szCs w:val="22"/>
        </w:rPr>
        <w:t xml:space="preserve">This section provides concrete examples of how data from real DCIM systems and telemetry sources maps onto the canonical entities defined in Layers 1 and 3. These examples demonstrate that the model is genuinely source-agnostic — the canonical structure remains identical regardless of which vendor provides the data.</w:t>
      </w:r>
    </w:p>
    <w:p>
      <w:pPr>
        <w:pStyle w:val="Heading2"/>
        <w:spacing w:before="320" w:after="160"/>
      </w:pPr>
      <w:r>
        <w:rPr>
          <w:rFonts w:ascii="Arial" w:cs="Arial" w:eastAsia="Arial" w:hAnsi="Arial"/>
          <w:b/>
          <w:bCs/>
          <w:color w:val="1E3A4C"/>
          <w:sz w:val="26"/>
          <w:szCs w:val="26"/>
        </w:rPr>
        <w:t xml:space="preserve">7.1 DCIM: nlyte Energy Manager</w:t>
      </w:r>
    </w:p>
    <w:p>
      <w:pPr>
        <w:spacing w:before="80" w:after="120"/>
      </w:pPr>
      <w:r>
        <w:rPr>
          <w:rFonts w:ascii="Arial" w:cs="Arial" w:eastAsia="Arial" w:hAnsi="Arial"/>
          <w:color w:val="000000"/>
          <w:sz w:val="22"/>
          <w:szCs w:val="22"/>
        </w:rPr>
        <w:t xml:space="preserve">nlyte exposes rack, device, and power path data via its REST API. The following shows how key nlyte fields map to canonical entities through the FIELD_MAPPING layer:</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160"/>
      </w:tblGrid>
      <w:tr>
        <w:trPr>
          <w:tblHeader/>
        </w:trPr>
        <w:tc>
          <w:tcPr>
            <w:tcW w:type="dxa" w:w="22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nlyte Source Field</w:t>
            </w:r>
          </w:p>
        </w:tc>
        <w:tc>
          <w:tcPr>
            <w:tcW w:type="dxa" w:w="14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Transform</w:t>
            </w:r>
          </w:p>
        </w:tc>
        <w:tc>
          <w:tcPr>
            <w:tcW w:type="dxa" w:w="24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Canonical Target</w:t>
            </w:r>
          </w:p>
        </w:tc>
        <w:tc>
          <w:tcPr>
            <w:tcW w:type="dxa" w:w="316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rack_name</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INFRASTRUCTURE_ENTITY.canonical_name</w:t>
            </w:r>
          </w:p>
        </w:tc>
        <w:tc>
          <w:tcPr>
            <w:tcW w:type="dxa" w:w="3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 class = RACK</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RackMaxPower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UNIT_CONVERT ÷ 1000</w:t>
            </w:r>
          </w:p>
        </w:tc>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CAPACITY_SPEC (dimension=power_kw, rated_value)</w:t>
            </w:r>
          </w:p>
        </w:tc>
        <w:tc>
          <w:tcPr>
            <w:tcW w:type="dxa" w:w="3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nlyte reports in watts; canonical unit is kW</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CabinetOwner</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ENTITY_ATTRIBUTE (ns=dcim.nlyte, key=owner)</w:t>
            </w:r>
          </w:p>
        </w:tc>
        <w:tc>
          <w:tcPr>
            <w:tcW w:type="dxa" w:w="3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Vendor-specific; stored as EAV row</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CriticalityLevel</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ENUM_MAP: High→P1, Med→P2, Low→P3</w:t>
            </w:r>
          </w:p>
        </w:tc>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INFRASTRUCTURE_ENTITY.criticality_level</w:t>
            </w:r>
          </w:p>
        </w:tc>
        <w:tc>
          <w:tcPr>
            <w:tcW w:type="dxa" w:w="3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Normalised to canonical ENUM</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RackUHeight</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CAPACITY_SPEC (dimension=space_u, rated_value)</w:t>
            </w:r>
          </w:p>
        </w:tc>
        <w:tc>
          <w:tcPr>
            <w:tcW w:type="dxa" w:w="3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CoolingZoneId</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ENTITY_ATTRIBUTE (ns=dcim.nlyte, key=cooling_zone_id)</w:t>
            </w:r>
          </w:p>
        </w:tc>
        <w:tc>
          <w:tcPr>
            <w:tcW w:type="dxa" w:w="3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Also generates RELATIONSHIP: in_zone</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AssetTag</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is_identity_field=true</w:t>
            </w:r>
          </w:p>
        </w:tc>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(type=ASSET_TAG)</w:t>
            </w:r>
          </w:p>
        </w:tc>
        <w:tc>
          <w:tcPr>
            <w:tcW w:type="dxa" w:w="3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Used by entity resolution engine</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SerialNumber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is_identity_field=true</w:t>
            </w:r>
          </w:p>
        </w:tc>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(type=SERIAL_NUMBER)</w:t>
            </w:r>
          </w:p>
        </w:tc>
        <w:tc>
          <w:tcPr>
            <w:tcW w:type="dxa" w:w="3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Primary identity signal if available</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DeviceType</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ENUM_MAP</w:t>
            </w:r>
          </w:p>
        </w:tc>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INFRASTRUCTURE_ENTITY.entity_class</w:t>
            </w:r>
          </w:p>
        </w:tc>
        <w:tc>
          <w:tcPr>
            <w:tcW w:type="dxa" w:w="3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Maps to canonical DEVICE, PDU, etc.</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PowerFeedA_Name</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INFRASTRUCTURE_ENTITY (entity_class=FEED) + RELATIONSHIP: powered_by</w:t>
            </w:r>
          </w:p>
        </w:tc>
        <w:tc>
          <w:tcPr>
            <w:tcW w:type="dxa" w:w="3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Creates feed entity if not exists</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7.2 Telemetry: Prometheus Remote Write</w:t>
      </w:r>
    </w:p>
    <w:p>
      <w:pPr>
        <w:spacing w:before="80" w:after="120"/>
      </w:pPr>
      <w:r>
        <w:rPr>
          <w:rFonts w:ascii="Arial" w:cs="Arial" w:eastAsia="Arial" w:hAnsi="Arial"/>
          <w:color w:val="000000"/>
          <w:sz w:val="22"/>
          <w:szCs w:val="22"/>
        </w:rPr>
        <w:t xml:space="preserve">Prometheus delivers metrics via Remote Write (HTTP + protobuf). The telemetry-gateway-service receives these and applies METRIC_SOURCE_MAPPING to convert to canonical metric names: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Prometheus Metric</w:t>
            </w:r>
          </w:p>
        </w:tc>
        <w:tc>
          <w:tcPr>
            <w:tcW w:type="dxa" w:w="16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Transform</w:t>
            </w:r>
          </w:p>
        </w:tc>
        <w:tc>
          <w:tcPr>
            <w:tcW w:type="dxa" w:w="20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Canonical Metric</w:t>
            </w:r>
          </w:p>
        </w:tc>
        <w:tc>
          <w:tcPr>
            <w:tcW w:type="dxa" w:w="33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node_cpu_seconds_total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EXPRESSION: rate(5m) × 100</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cpu_utilisation_pct</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Rate calculation applied at gateway; result in %</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node_memory_MemUsed_bytes</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EXPRESSION: value / MemTotal × 100</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mem_utilisation_pct</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Requires MemTotal label from same scrape target</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ipmi_power_watts</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power_draw_w</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IPMI exporter provides direct watt reading</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node_network_receive_bytes_total</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EXPRESSION: rate(5m)</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net_rx_bytes_per_sec</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Rate of bytes per second</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node_temperature_celsius</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inlet_temperature_c</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Requires label filter: sensor_name='CPU Inlet'</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instance label</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EXTRACT label value + is_identity_field=true</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(type=HOSTNAME)</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Used for entity resolution to DEVICE entity</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job label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EXTRACT label value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ENTITY_ATTRIBUTE (ns=prometheus, key=job)</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Stored as vendor attribute</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7.3 Active Discovery: SNMP Walk</w:t>
      </w:r>
    </w:p>
    <w:p>
      <w:pPr>
        <w:spacing w:before="80" w:after="120"/>
      </w:pPr>
      <w:r>
        <w:rPr>
          <w:rFonts w:ascii="Arial" w:cs="Arial" w:eastAsia="Arial" w:hAnsi="Arial"/>
          <w:color w:val="000000"/>
          <w:sz w:val="22"/>
          <w:szCs w:val="22"/>
        </w:rPr>
        <w:t xml:space="preserve">SNMP walk results from the active-discovery-service are processed through the FIELD_MAPPING layer to extract both identity signals and device attributes: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W w:type="dxa" w:w="24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SNMP OID / MIB Object</w:t>
            </w:r>
          </w:p>
        </w:tc>
        <w:tc>
          <w:tcPr>
            <w:tcW w:type="dxa" w:w="1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Transform</w:t>
            </w:r>
          </w:p>
        </w:tc>
        <w:tc>
          <w:tcPr>
            <w:tcW w:type="dxa" w:w="20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Canonical Target</w:t>
            </w:r>
          </w:p>
        </w:tc>
        <w:tc>
          <w:tcPr>
            <w:tcW w:type="dxa" w:w="33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sysObjectID (.1.3.6.1.2.1.1.2.0)</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is_identity_field=true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(type=SNMP_OID)</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Primary identity signal for SNMP-managed devices</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sysDescr (.1.3.6.1.2.1.1.1.0)</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NLP pipeline</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ENTITY_ATTRIBUTE (ns=snmp, key=sys_descr) + M1/M2 feature input</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Stored raw; also fed to classification agent</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ifOperStatus (per ifIndex row)</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PER_ROW: one INTERFACE entity per row</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INFRASTRUCTURE_ENTITY (entity_class=INTERFACE)</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Creates one entity per network interface discovered</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entPhysicalSerialNum</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is_identity_field=true</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(type=SERIAL_NUMBER)</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High-confidence identity signal; used as primary resolver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entPhysicalMfgName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ENTITY_ATTRIBUTE (ns=snmp, key=manufacturer)</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Stored as vendor attribute on DEVICE</w:t>
            </w:r>
          </w:p>
        </w:tc>
      </w:tr>
      <w:tr>
        <w:tc>
          <w:tcPr>
            <w:tcW w:type="dxa" w:w="2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ifSpeed</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UNIT_CONVERT ÷ 1000000</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CAPACITY_SPEC (dimension=bandwidth_gbps)</w:t>
            </w:r>
          </w:p>
        </w:tc>
        <w:tc>
          <w:tcPr>
            <w:tcW w:type="dxa" w:w="33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Converts bits/sec to Gbps capacity spec</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ipAdEntAddr</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DIRECT + is_identity_field=true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IDENTITY_SIGNAL (type=IP_ADDRESS)</w:t>
            </w:r>
          </w:p>
        </w:tc>
        <w:tc>
          <w:tcPr>
            <w:tcW w:type="dxa" w:w="33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IP-based identity signal as fallback</w:t>
            </w:r>
          </w:p>
        </w:tc>
      </w:tr>
    </w:tbl>
    <w:p>
      <w:r>
        <w:br w:type="page"/>
      </w:r>
    </w:p>
    <w:p>
      <w:pPr>
        <w:pStyle w:val="Heading1"/>
        <w:spacing w:before="480" w:after="200"/>
      </w:pPr>
      <w:bookmarkStart w:name="pipelines" w:id="1"/>
      <w:r>
        <w:rPr>
          <w:rFonts w:ascii="Arial" w:cs="Arial" w:eastAsia="Arial" w:hAnsi="Arial"/>
          <w:b/>
          <w:bCs/>
          <w:color w:val="0D1B2A"/>
          <w:sz w:val="32"/>
          <w:szCs w:val="32"/>
        </w:rPr>
        <w:t xml:space="preserve">8. Data Pipelines</w:t>
      </w:r>
      <w:bookmarkEnd w:id="1"/>
    </w:p>
    <w:p>
      <w:pPr>
        <w:spacing w:before="80" w:after="120"/>
      </w:pPr>
      <w:r>
        <w:rPr>
          <w:rFonts w:ascii="Arial" w:cs="Arial" w:eastAsia="Arial" w:hAnsi="Arial"/>
          <w:color w:val="000000"/>
          <w:sz w:val="22"/>
          <w:szCs w:val="22"/>
        </w:rPr>
        <w:t xml:space="preserve">FlowCore requires eleven distinct data pipelines to carry data from sources through to AI agent outputs. These pipelines are organized across four layers matching the logical data model. Each pipeline has a clearly defined trigger, cadence, responsible service, Kafka topic bindings, and output entities.</w:t>
      </w:r>
    </w:p>
    <w:p>
      <w:pPr>
        <w:pStyle w:val="Heading2"/>
        <w:spacing w:before="320" w:after="160"/>
      </w:pPr>
      <w:bookmarkStart w:name="pipeline-flow" w:id="1"/>
      <w:r>
        <w:rPr>
          <w:rFonts w:ascii="Arial" w:cs="Arial" w:eastAsia="Arial" w:hAnsi="Arial"/>
          <w:b/>
          <w:bCs/>
          <w:color w:val="1E3A4C"/>
          <w:sz w:val="26"/>
          <w:szCs w:val="26"/>
        </w:rPr>
        <w:t xml:space="preserve">8.1 Pipeline Data Flow</w:t>
      </w:r>
      <w:bookmarkEnd w:id="1"/>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1E3A4C" w:sz="8"/>
              <w:left w:val="single" w:color="1E3A4C" w:sz="8"/>
              <w:bottom w:val="single" w:color="1E3A4C" w:sz="8"/>
              <w:right w:val="single" w:color="1E3A4C" w:sz="8"/>
            </w:tcBorders>
            <w:shd w:fill="1E3A4C" w:val="clear"/>
            <w:tcMar>
              <w:top w:type="dxa" w:w="120"/>
              <w:left w:type="dxa" w:w="180"/>
              <w:bottom w:type="dxa" w:w="120"/>
              <w:right w:type="dxa" w:w="180"/>
            </w:tcMar>
          </w:tcPr>
          <w:p>
            <w:pPr>
              <w:spacing w:before="0" w:after="40"/>
            </w:pPr>
            <w:r>
              <w:rPr>
                <w:rFonts w:ascii="Arial" w:cs="Arial" w:eastAsia="Arial" w:hAnsi="Arial"/>
                <w:b/>
                <w:bCs/>
                <w:color w:val="FFFFFF"/>
                <w:sz w:val="24"/>
                <w:szCs w:val="24"/>
              </w:rPr>
              <w:t xml:space="preserve">Pipeline Data Flow — Source to AI Agents</w:t>
            </w:r>
          </w:p>
          <w:p>
            <w:pPr>
              <w:spacing w:before="0" w:after="0"/>
            </w:pPr>
            <w:r>
              <w:rPr>
                <w:rFonts w:ascii="Arial" w:cs="Arial" w:eastAsia="Arial" w:hAnsi="Arial"/>
                <w:color w:val="D0F0F8"/>
                <w:sz w:val="18"/>
                <w:szCs w:val="18"/>
              </w:rPr>
              <w:t xml:space="preserve">11 pipelines across 4 layers, Phases 1, 2, and 3. Kafka is the central event backbone.</w:t>
            </w:r>
          </w:p>
        </w:tc>
      </w:tr>
      <w:tr>
        <w:tc>
          <w:tcPr>
            <w:gridSpan w:val="2"/>
            <w:tcBorders>
              <w:top w:val="none" w:color="FFFFFF" w:sz="0"/>
              <w:left w:val="single" w:color="1E3A4C" w:sz="8"/>
              <w:bottom w:val="single" w:color="1E3A4C" w:sz="4"/>
              <w:right w:val="single" w:color="1E3A4C" w:sz="8"/>
            </w:tcBorders>
            <w:shd w:fill="F1F5F9" w:val="clear"/>
            <w:tcMar>
              <w:top w:type="dxa" w:w="80"/>
              <w:left w:type="dxa" w:w="180"/>
              <w:bottom w:type="dxa" w:w="80"/>
              <w:right w:type="dxa" w:w="180"/>
            </w:tcMar>
          </w:tcPr>
          <w:p>
            <w:pPr>
              <w:spacing w:before="80" w:after="120"/>
            </w:pPr>
            <w:r>
              <w:rPr>
                <w:rFonts w:ascii="Arial" w:cs="Arial" w:eastAsia="Arial" w:hAnsi="Arial"/>
                <w:b/>
                <w:bCs/>
                <w:color w:val="1E3A4C"/>
                <w:sz w:val="20"/>
                <w:szCs w:val="20"/>
              </w:rPr>
              <w:t xml:space="preserve">Layer: </w:t>
            </w:r>
            <w:r>
              <w:rPr>
                <w:rFonts w:ascii="Arial" w:cs="Arial" w:eastAsia="Arial" w:hAnsi="Arial"/>
                <w:color w:val="1E3A4C"/>
                <w:sz w:val="20"/>
                <w:szCs w:val="20"/>
              </w:rPr>
              <w:t xml:space="preserve">All Layers · Apache Kafka backbone</w:t>
            </w:r>
            <w:r>
              <w:rPr>
                <w:rFonts w:ascii="Arial" w:cs="Arial" w:eastAsia="Arial" w:hAnsi="Arial"/>
                <w:color w:val="1E3A4C"/>
                <w:sz w:val="20"/>
                <w:szCs w:val="20"/>
              </w:rPr>
              <w:t xml:space="preserve">  |  Interactive HTML: </w:t>
            </w:r>
            <w:hyperlink w:history="1" r:id="rIdnwqlz3mdz1hjyursn9l2f">
              <w:r>
                <w:rPr>
                  <w:rFonts w:ascii="Arial" w:cs="Arial" w:eastAsia="Arial" w:hAnsi="Arial"/>
                  <w:color w:val="0891B2"/>
                  <w:sz w:val="20"/>
                  <w:szCs w:val="20"/>
                  <w:u w:val="single" w:color="0891B2"/>
                </w:rPr>
                <w:t xml:space="preserve">pipeline_data_flow.html</w:t>
              </w:r>
            </w:hyperlink>
          </w:p>
        </w:tc>
      </w:tr>
      <w:tr>
        <w:tc>
          <w:tcPr>
            <w:tcW w:type="dxa" w:w="4680"/>
            <w:tcBorders>
              <w:top w:val="none" w:color="FFFFFF" w:sz="0"/>
              <w:left w:val="single" w:color="1E3A4C" w:sz="8"/>
              <w:bottom w:val="single" w:color="E2E8F0" w:sz="2"/>
              <w:right w:val="single" w:color="E2E8F0" w:sz="2"/>
            </w:tcBorders>
            <w:shd w:fill="F1F5F9"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P1: DCIM Ingestion</w:t>
            </w:r>
          </w:p>
        </w:tc>
        <w:tc>
          <w:tcPr>
            <w:tcW w:type="dxa" w:w="4680"/>
            <w:tcBorders>
              <w:top w:val="none" w:color="FFFFFF" w:sz="0"/>
              <w:left w:val="single" w:color="E2E8F0" w:sz="2"/>
              <w:bottom w:val="single" w:color="E2E8F0" w:sz="2"/>
              <w:right w:val="single" w:color="1E3A4C" w:sz="8"/>
            </w:tcBorders>
            <w:shd w:fill="F1F5F9"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P2: Telemetry Gateway</w:t>
            </w:r>
          </w:p>
        </w:tc>
      </w:tr>
      <w:tr>
        <w:tc>
          <w:tcPr>
            <w:tcW w:type="dxa" w:w="4680"/>
            <w:tcBorders>
              <w:top w:val="none" w:color="FFFFFF" w:sz="0"/>
              <w:left w:val="single" w:color="1E3A4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P3: Active Discovery</w:t>
            </w:r>
          </w:p>
        </w:tc>
        <w:tc>
          <w:tcPr>
            <w:tcW w:type="dxa" w:w="4680"/>
            <w:tcBorders>
              <w:top w:val="none" w:color="FFFFFF" w:sz="0"/>
              <w:left w:val="single" w:color="E2E8F0" w:sz="2"/>
              <w:bottom w:val="single" w:color="E2E8F0" w:sz="2"/>
              <w:right w:val="single" w:color="1E3A4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P4: Digital Twin Construction</w:t>
            </w:r>
          </w:p>
        </w:tc>
      </w:tr>
      <w:tr>
        <w:tc>
          <w:tcPr>
            <w:tcW w:type="dxa" w:w="4680"/>
            <w:tcBorders>
              <w:top w:val="none" w:color="FFFFFF" w:sz="0"/>
              <w:left w:val="single" w:color="1E3A4C" w:sz="8"/>
              <w:bottom w:val="single" w:color="E2E8F0" w:sz="2"/>
              <w:right w:val="single" w:color="E2E8F0" w:sz="2"/>
            </w:tcBorders>
            <w:shd w:fill="F1F5F9"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P5: Time-Series Storage</w:t>
            </w:r>
          </w:p>
        </w:tc>
        <w:tc>
          <w:tcPr>
            <w:tcW w:type="dxa" w:w="4680"/>
            <w:tcBorders>
              <w:top w:val="none" w:color="FFFFFF" w:sz="0"/>
              <w:left w:val="single" w:color="E2E8F0" w:sz="2"/>
              <w:bottom w:val="single" w:color="E2E8F0" w:sz="2"/>
              <w:right w:val="single" w:color="1E3A4C" w:sz="8"/>
            </w:tcBorders>
            <w:shd w:fill="F1F5F9"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P6: Topology &amp; Classification</w:t>
            </w:r>
          </w:p>
        </w:tc>
      </w:tr>
      <w:tr>
        <w:tc>
          <w:tcPr>
            <w:tcW w:type="dxa" w:w="4680"/>
            <w:tcBorders>
              <w:top w:val="none" w:color="FFFFFF" w:sz="0"/>
              <w:left w:val="single" w:color="1E3A4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P7: Correlation &amp; Prediction</w:t>
            </w:r>
          </w:p>
        </w:tc>
        <w:tc>
          <w:tcPr>
            <w:tcW w:type="dxa" w:w="4680"/>
            <w:tcBorders>
              <w:top w:val="none" w:color="FFFFFF" w:sz="0"/>
              <w:left w:val="single" w:color="E2E8F0" w:sz="2"/>
              <w:bottom w:val="single" w:color="E2E8F0" w:sz="2"/>
              <w:right w:val="single" w:color="1E3A4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P8: What-If Simulation</w:t>
            </w:r>
          </w:p>
        </w:tc>
      </w:tr>
      <w:tr>
        <w:tc>
          <w:tcPr>
            <w:tcW w:type="dxa" w:w="4680"/>
            <w:tcBorders>
              <w:top w:val="none" w:color="FFFFFF" w:sz="0"/>
              <w:left w:val="single" w:color="1E3A4C" w:sz="8"/>
              <w:bottom w:val="single" w:color="E2E8F0" w:sz="2"/>
              <w:right w:val="single" w:color="E2E8F0" w:sz="2"/>
            </w:tcBorders>
            <w:shd w:fill="F1F5F9"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P9: ITSM Integration</w:t>
            </w:r>
          </w:p>
        </w:tc>
        <w:tc>
          <w:tcPr>
            <w:tcW w:type="dxa" w:w="4680"/>
            <w:tcBorders>
              <w:top w:val="none" w:color="FFFFFF" w:sz="0"/>
              <w:left w:val="single" w:color="E2E8F0" w:sz="2"/>
              <w:bottom w:val="single" w:color="E2E8F0" w:sz="2"/>
              <w:right w:val="single" w:color="1E3A4C" w:sz="8"/>
            </w:tcBorders>
            <w:shd w:fill="F1F5F9"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P10: Model Operations</w:t>
            </w:r>
          </w:p>
        </w:tc>
      </w:tr>
      <w:tr>
        <w:tc>
          <w:tcPr>
            <w:tcW w:type="dxa" w:w="4680"/>
            <w:tcBorders>
              <w:top w:val="none" w:color="FFFFFF" w:sz="0"/>
              <w:left w:val="single" w:color="1E3A4C" w:sz="8"/>
              <w:bottom w:val="single" w:color="E2E8F0" w:sz="2"/>
              <w:right w:val="single" w:color="E2E8F0" w:sz="2"/>
            </w:tcBorders>
            <w:shd w:fill="FFFFFF" w:val="clear"/>
            <w:tcMar>
              <w:top w:type="dxa" w:w="60"/>
              <w:left w:type="dxa" w:w="180"/>
              <w:bottom w:type="dxa" w:w="60"/>
              <w:right w:type="dxa" w:w="120"/>
            </w:tcMar>
          </w:tcPr>
          <w:p>
            <w:pPr>
              <w:spacing w:before="0" w:after="0"/>
            </w:pPr>
            <w:r>
              <w:rPr>
                <w:rFonts w:ascii="Arial" w:cs="Arial" w:eastAsia="Arial" w:hAnsi="Arial"/>
                <w:b/>
                <w:bCs/>
                <w:color w:val="0D1B2A"/>
                <w:sz w:val="20"/>
                <w:szCs w:val="20"/>
              </w:rPr>
              <w:t xml:space="preserve">■  P11: Continuous Aggregation</w:t>
            </w:r>
          </w:p>
        </w:tc>
        <w:tc>
          <w:tcPr>
            <w:tcW w:type="dxa" w:w="4680"/>
            <w:tcBorders>
              <w:top w:val="none" w:color="FFFFFF" w:sz="0"/>
              <w:left w:val="single" w:color="E2E8F0" w:sz="2"/>
              <w:bottom w:val="single" w:color="E2E8F0" w:sz="2"/>
              <w:right w:val="single" w:color="1E3A4C" w:sz="8"/>
            </w:tcBorders>
            <w:shd w:fill="FFFFFF" w:val="clear"/>
            <w:tcMar>
              <w:top w:type="dxa" w:w="60"/>
              <w:left w:type="dxa" w:w="120"/>
              <w:bottom w:type="dxa" w:w="60"/>
              <w:right w:type="dxa" w:w="180"/>
            </w:tcMar>
          </w:tcPr>
          <w:p>
            <w:pPr>
              <w:spacing w:before="0" w:after="0"/>
            </w:pPr>
            <w:r>
              <w:rPr>
                <w:rFonts w:ascii="Arial" w:cs="Arial" w:eastAsia="Arial" w:hAnsi="Arial"/>
                <w:color w:val="0D1B2A"/>
                <w:sz w:val="20"/>
                <w:szCs w:val="20"/>
              </w:rPr>
              <w:t xml:space="preserve"/>
            </w:r>
          </w:p>
        </w:tc>
      </w:tr>
      <w:tr>
        <w:tc>
          <w:tcPr>
            <w:gridSpan w:val="2"/>
            <w:tcBorders>
              <w:top w:val="single" w:color="E2E8F0" w:sz="2"/>
              <w:left w:val="single" w:color="1E3A4C" w:sz="8"/>
              <w:bottom w:val="single" w:color="1E3A4C" w:sz="8"/>
              <w:right w:val="single" w:color="1E3A4C" w:sz="8"/>
            </w:tcBorders>
            <w:shd w:fill="F1F5F9" w:val="clear"/>
            <w:tcMar>
              <w:top w:type="dxa" w:w="100"/>
              <w:left w:type="dxa" w:w="180"/>
              <w:bottom w:type="dxa" w:w="100"/>
              <w:right w:type="dxa" w:w="180"/>
            </w:tcMar>
          </w:tcPr>
          <w:p>
            <w:pPr>
              <w:spacing w:before="0" w:after="0"/>
            </w:pPr>
            <w:r>
              <w:rPr>
                <w:rFonts w:ascii="Arial" w:cs="Arial" w:eastAsia="Arial" w:hAnsi="Arial"/>
                <w:b/>
                <w:bCs/>
                <w:color w:val="D97706"/>
                <w:sz w:val="19"/>
                <w:szCs w:val="19"/>
              </w:rPr>
              <w:t xml:space="preserve">⚡ Interactive version: </w:t>
            </w:r>
            <w:r>
              <w:rPr>
                <w:rFonts w:ascii="Arial" w:cs="Arial" w:eastAsia="Arial" w:hAnsi="Arial"/>
                <w:color w:val="1E3A4C"/>
                <w:sz w:val="19"/>
                <w:szCs w:val="19"/>
              </w:rPr>
              <w:t xml:space="preserve">Open pipeline_data_flow.html in any browser for fully zoomable, pannable ERD with scroll-to-zoom and drag-to-pan. </w:t>
            </w:r>
            <w:r>
              <w:rPr>
                <w:rFonts w:ascii="Arial" w:cs="Arial" w:eastAsia="Arial" w:hAnsi="Arial"/>
                <w:color w:val="1E3A4C"/>
                <w:sz w:val="19"/>
                <w:szCs w:val="19"/>
              </w:rPr>
              <w:t xml:space="preserve">The HTML file is included in the companion zip alongside this document.</w:t>
            </w:r>
          </w:p>
        </w:tc>
      </w:tr>
    </w:tbl>
    <w:p>
      <w:pPr>
        <w:spacing w:before="80" w:after="200"/>
        <w:jc w:val="center"/>
      </w:pPr>
      <w:r>
        <w:rPr>
          <w:rFonts w:ascii="Arial" w:cs="Arial" w:eastAsia="Arial" w:hAnsi="Arial"/>
          <w:i/>
          <w:iCs/>
          <w:color w:val="64748B"/>
          <w:sz w:val="18"/>
          <w:szCs w:val="18"/>
        </w:rPr>
        <w:t xml:space="preserve">Figure 5: Pipeline Data Flow. Open pipeline_data_flow.html for interactive zoom/pan.</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8.2 Pipeline Reference</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800"/>
        <w:gridCol w:w="2000"/>
        <w:gridCol w:w="560"/>
      </w:tblGrid>
      <w:tr>
        <w:trPr>
          <w:tblHeader/>
        </w:trPr>
        <w:tc>
          <w:tcPr>
            <w:tcW w:type="dxa" w:w="14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Pipeline</w:t>
            </w:r>
          </w:p>
        </w:tc>
        <w:tc>
          <w:tcPr>
            <w:tcW w:type="dxa" w:w="20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Service</w:t>
            </w:r>
          </w:p>
        </w:tc>
        <w:tc>
          <w:tcPr>
            <w:tcW w:type="dxa" w:w="16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Trigger</w:t>
            </w:r>
          </w:p>
        </w:tc>
        <w:tc>
          <w:tcPr>
            <w:tcW w:type="dxa" w:w="18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Kafka Out</w:t>
            </w:r>
          </w:p>
        </w:tc>
        <w:tc>
          <w:tcPr>
            <w:tcW w:type="dxa" w:w="20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Writes To</w:t>
            </w:r>
          </w:p>
        </w:tc>
        <w:tc>
          <w:tcPr>
            <w:tcW w:type="dxa" w:w="56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P1: DCIM Ingestion</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dcim-ingestion-service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Scheduled + on-demand full sync</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dcim.config.raw, dcim.config.normalized</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SYNC_LOG, DEAD_LETTER_RECORD</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P2: Telemetry Gateway</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telemetry-gateway-service</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Continuous event-driven (50k events/sec NFR-06)</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metrics.timeseries.raw, alerts.raw, events.raw</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DEAD_LETTER_RECORD</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P3: Active Discovery</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active-discovery-service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Scheduled per subnet with rate-limit guardrails</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discovery.snmp.results, discovery.bmc.results</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DISCOVERY_SCAN_LOG</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P4: Digital Twin Construction</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graph-updater-service</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Continuous Kafka consumer on 5 topics</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graph.mutations</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Neo4j (all entity types + relationships), NODE_QUALITY_SCORE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P5: Time-Series Storage</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timeseries-writer-service, event-archive-service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Continuous Kafka consumer</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terminal)</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METRIC_DATAPOINT hypertable, S3 archive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P6: Topology &amp; Classification</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topology-reconciliation-agent, classification-capability-agent</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Event-driven + periodic full scan</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drift.events, drift.suggestions, classification.results</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DRIFT_EVENT, DRIFT_SUGGESTION, CLASSIFICATION_RESULT</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P7: Correlation &amp; Prediction</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correlation-root-cause-agent, prediction-capacity-agent</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Continuous (correlation) + scheduled (prediction)</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incidents.correlated</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CORRELATED_INCIDENT, CAPACITY_FORECAST, ANOMALY_FLAG, FAILURE_PROBABILITY</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P8: What-If Simulation</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what-if-planning-agent</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On-demand operator-initiated</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synchronous response)</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SIMULATION_SCENARIO, SIMULATION_RESULT</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3</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P9: ITSM Integration</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eventing-integration-service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Continuous Kafka consumer</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external API calls)</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ServiceNow/Jira via REST; CORRELATED_INCIDENT.itsm_ticket_ref updated</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P10: Model Operations</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MLflow + retraining DAGs</w:t>
            </w:r>
          </w:p>
        </w:tc>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Weekly schedule + concept drift breach + operator feedback</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model artefacts)</w:t>
            </w:r>
          </w:p>
        </w:tc>
        <w:tc>
          <w:tcPr>
            <w:tcW w:type="dxa" w:w="2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MLflow model registry; updated model containers</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P11: Continuous Aggregation</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TimescaleDB (DB-native)</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Automatic time-based (continuous aggregate)</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(none — DB internal)</w:t>
            </w:r>
          </w:p>
        </w:tc>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METRIC_ROLLUP, METRIC_BASELINE</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8.3 Pipeline Descriptions</w:t>
      </w:r>
    </w:p>
    <w:p>
      <w:pPr>
        <w:pStyle w:val="Heading3"/>
        <w:spacing w:before="240" w:after="120"/>
      </w:pPr>
      <w:r>
        <w:rPr>
          <w:rFonts w:ascii="Arial" w:cs="Arial" w:eastAsia="Arial" w:hAnsi="Arial"/>
          <w:b/>
          <w:bCs/>
          <w:color w:val="0891B2"/>
          <w:sz w:val="22"/>
          <w:szCs w:val="22"/>
        </w:rPr>
        <w:t xml:space="preserve">P1 — DCIM Ingestion</w:t>
      </w:r>
    </w:p>
    <w:p>
      <w:pPr>
        <w:spacing w:before="80" w:after="120"/>
      </w:pPr>
      <w:r>
        <w:rPr>
          <w:rFonts w:ascii="Arial" w:cs="Arial" w:eastAsia="Arial" w:hAnsi="Arial"/>
          <w:color w:val="000000"/>
          <w:sz w:val="22"/>
          <w:szCs w:val="22"/>
        </w:rPr>
        <w:t xml:space="preserve">Connects to DCIM vendors (nlyte, Sunbird, Schneider EcoStruxure, CSV in Phase 1) via their REST APIs. Runs in two modes: full sync (complete inventory pull) and incremental change-capture (delta since last cursor). Raw vendor payloads are published to dcim.config.raw before any transformation for archival. The normalisation step applies FIELD_MAPPING rules to convert vendor field names and values to canonical schema, publishing normalised records to dcim.config.normalized. Any sync failure writes a SYNC_LOG record with status=FAILED and fires an alert without corrupting existing graph state (FR-DI-04).</w:t>
      </w:r>
    </w:p>
    <w:p>
      <w:pPr>
        <w:pStyle w:val="Heading3"/>
        <w:spacing w:before="240" w:after="120"/>
      </w:pPr>
      <w:r>
        <w:rPr>
          <w:rFonts w:ascii="Arial" w:cs="Arial" w:eastAsia="Arial" w:hAnsi="Arial"/>
          <w:b/>
          <w:bCs/>
          <w:color w:val="0891B2"/>
          <w:sz w:val="22"/>
          <w:szCs w:val="22"/>
        </w:rPr>
        <w:t xml:space="preserve">P2 — Telemetry Gateway</w:t>
      </w:r>
    </w:p>
    <w:p>
      <w:pPr>
        <w:spacing w:before="80" w:after="120"/>
      </w:pPr>
      <w:r>
        <w:rPr>
          <w:rFonts w:ascii="Arial" w:cs="Arial" w:eastAsia="Arial" w:hAnsi="Arial"/>
          <w:color w:val="000000"/>
          <w:sz w:val="22"/>
          <w:szCs w:val="22"/>
        </w:rPr>
        <w:t xml:space="preserve">The highest-throughput pipeline, targeting 50,000 events/second (NFR-06). Three inbound paths converge: Prometheus remote write (HTTP/protobuf), Zabbix/Icinga webhooks, and SNMP trap UDP receiver. All inbound payloads are canonicalised at the gateway boundary, splitting event_ts (source clock) from ingest_ts (NTP-corrected receipt). Routes to three Kafka topics by content type: metrics → metrics.timeseries.raw, alert events → alerts.raw, general events → events.raw. Schema validation runs at the gateway; failures produce DEAD_LETTER_RECORD rows.</w:t>
      </w:r>
    </w:p>
    <w:p>
      <w:pPr>
        <w:pStyle w:val="Heading3"/>
        <w:spacing w:before="240" w:after="120"/>
      </w:pPr>
      <w:r>
        <w:rPr>
          <w:rFonts w:ascii="Arial" w:cs="Arial" w:eastAsia="Arial" w:hAnsi="Arial"/>
          <w:b/>
          <w:bCs/>
          <w:color w:val="0891B2"/>
          <w:sz w:val="22"/>
          <w:szCs w:val="22"/>
        </w:rPr>
        <w:t xml:space="preserve">P4 — Digital Twin Construction</w:t>
      </w:r>
    </w:p>
    <w:p>
      <w:pPr>
        <w:spacing w:before="80" w:after="120"/>
      </w:pPr>
      <w:r>
        <w:rPr>
          <w:rFonts w:ascii="Arial" w:cs="Arial" w:eastAsia="Arial" w:hAnsi="Arial"/>
          <w:color w:val="000000"/>
          <w:sz w:val="22"/>
          <w:szCs w:val="22"/>
        </w:rPr>
        <w:t xml:space="preserve">The most architecturally critical pipeline. Consumes from five Kafka topics and maintains Neo4j as the live Digital Twin. Three stages: (1) Entity resolution — applies ENTITY_RESOLUTION_RULE in priority order to merge DCIM, discovery, and telemetry identity signals into canonical INFRASTRUCTURE_ENTITY records. (2) Idempotent Neo4j upsert — re-ingesting the same event updates properties but never creates duplicates (FR-GT-05). (3) Mutation audit — every Neo4j write produces a GRAPH_MUTATION_LOG record and publishes to graph.mutations. Lag from source event to graph update must be ≤60 seconds under normal load (NFR-03).</w:t>
      </w:r>
    </w:p>
    <w:p>
      <w:pPr>
        <w:pStyle w:val="Heading3"/>
        <w:spacing w:before="240" w:after="120"/>
      </w:pPr>
      <w:r>
        <w:rPr>
          <w:rFonts w:ascii="Arial" w:cs="Arial" w:eastAsia="Arial" w:hAnsi="Arial"/>
          <w:b/>
          <w:bCs/>
          <w:color w:val="0891B2"/>
          <w:sz w:val="22"/>
          <w:szCs w:val="22"/>
        </w:rPr>
        <w:t xml:space="preserve">P10 — Model Operations</w:t>
      </w:r>
    </w:p>
    <w:p>
      <w:pPr>
        <w:spacing w:before="80" w:after="120"/>
      </w:pPr>
      <w:r>
        <w:rPr>
          <w:rFonts w:ascii="Arial" w:cs="Arial" w:eastAsia="Arial" w:hAnsi="Arial"/>
          <w:color w:val="000000"/>
          <w:sz w:val="22"/>
          <w:szCs w:val="22"/>
        </w:rPr>
        <w:t xml:space="preserve">Governs the ML lifecycle for classification and prediction agents. Three retraining triggers: (1) weekly scheduled baseline retrain, (2) concept drift detection breach when rolling evaluation error exceeds threshold (MG-05), and (3) operator feedback batch reaching a configured correction count. Each retraining run reads from S3 archive (historical replay), TimescaleDB rollups (feature extraction), and operator feedback records (labelled examples). New model versions are evaluated offline before gated promotion to production (MG-04).</w:t>
      </w:r>
    </w:p>
    <w:p>
      <w:r>
        <w:br w:type="page"/>
      </w:r>
    </w:p>
    <w:p>
      <w:pPr>
        <w:pStyle w:val="Heading1"/>
        <w:spacing w:before="480" w:after="200"/>
      </w:pPr>
      <w:bookmarkStart w:name="ml-models" w:id="1"/>
      <w:r>
        <w:rPr>
          <w:rFonts w:ascii="Arial" w:cs="Arial" w:eastAsia="Arial" w:hAnsi="Arial"/>
          <w:b/>
          <w:bCs/>
          <w:color w:val="0D1B2A"/>
          <w:sz w:val="32"/>
          <w:szCs w:val="32"/>
        </w:rPr>
        <w:t xml:space="preserve">9. ML Models &amp; Feature Extraction</w:t>
      </w:r>
      <w:bookmarkEnd w:id="1"/>
    </w:p>
    <w:p>
      <w:pPr>
        <w:spacing w:before="80" w:after="120"/>
      </w:pPr>
      <w:r>
        <w:rPr>
          <w:rFonts w:ascii="Arial" w:cs="Arial" w:eastAsia="Arial" w:hAnsi="Arial"/>
          <w:color w:val="000000"/>
          <w:sz w:val="22"/>
          <w:szCs w:val="22"/>
        </w:rPr>
        <w:t xml:space="preserve">FlowCore requires ten machine learning models across five AI agents. All models are versioned in MLflow (MG-01), share a common feature store to prevent training-serving skew (MG-02), and include explainability outputs (confidence scores and evidence nodes) on every prediction (NFR-18).</w:t>
      </w:r>
    </w:p>
    <w:p>
      <w:pPr>
        <w:pStyle w:val="Heading2"/>
        <w:spacing w:before="320" w:after="160"/>
      </w:pPr>
      <w:r>
        <w:rPr>
          <w:rFonts w:ascii="Arial" w:cs="Arial" w:eastAsia="Arial" w:hAnsi="Arial"/>
          <w:b/>
          <w:bCs/>
          <w:color w:val="1E3A4C"/>
          <w:sz w:val="26"/>
          <w:szCs w:val="26"/>
        </w:rPr>
        <w:t xml:space="preserve">9.1 Model Summary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2500"/>
        <w:gridCol w:w="560"/>
        <w:gridCol w:w="1500"/>
      </w:tblGrid>
      <w:tr>
        <w:trPr>
          <w:tblHeader/>
        </w:trPr>
        <w:tc>
          <w:tcPr>
            <w:tcW w:type="dxa" w:w="14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Model</w:t>
            </w:r>
          </w:p>
        </w:tc>
        <w:tc>
          <w:tcPr>
            <w:tcW w:type="dxa" w:w="14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Agent</w:t>
            </w:r>
          </w:p>
        </w:tc>
        <w:tc>
          <w:tcPr>
            <w:tcW w:type="dxa" w:w="15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Algorithm</w:t>
            </w:r>
          </w:p>
        </w:tc>
        <w:tc>
          <w:tcPr>
            <w:tcW w:type="dxa" w:w="25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Training Source</w:t>
            </w:r>
          </w:p>
        </w:tc>
        <w:tc>
          <w:tcPr>
            <w:tcW w:type="dxa" w:w="56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c>
          <w:tcPr>
            <w:tcW w:type="dxa" w:w="1500"/>
            <w:tcBorders>
              <w:top w:val="single" w:color="1E3A4C" w:sz="4"/>
              <w:left w:val="single" w:color="1E3A4C" w:sz="4"/>
              <w:bottom w:val="single" w:color="1E3A4C" w:sz="4"/>
              <w:right w:val="single" w:color="1E3A4C" w:sz="4"/>
            </w:tcBorders>
            <w:shd w:fill="1E3A4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Acceptance Criterion</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M1: Device type classifier</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Classification</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LightGBM</w:t>
            </w:r>
          </w:p>
        </w:tc>
        <w:tc>
          <w:tcPr>
            <w:tcW w:type="dxa" w:w="2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discovery.snmp.results, discovery.bmc.results, CLASSIFICATION_RESULT feedback</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Accuracy &gt;95% on held-out test set</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M2: Capability inferrer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Classification</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Rule-based + NLP</w:t>
            </w:r>
          </w:p>
        </w:tc>
        <w:tc>
          <w:tcPr>
            <w:tcW w:type="dxa" w:w="2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Same as M1 plus operator corrections</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1</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Coverage &gt;90% of discovered devices</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M3: Alert clusterer</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Correlation/RCA</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DBSCAN</w:t>
            </w:r>
          </w:p>
        </w:tc>
        <w:tc>
          <w:tcPr>
            <w:tcW w:type="dxa" w:w="2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ALERT_TIMESERIES, CORRELATED_INCIDENT feedback</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FP rate &lt;15% rolling 7-day (NFR-16)</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M4: Root cause scorer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Correlation/RCA</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Bayesian network</w:t>
            </w:r>
          </w:p>
        </w:tc>
        <w:tc>
          <w:tcPr>
            <w:tcW w:type="dxa" w:w="2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Confirmed CORRELATED_INCIDENT records, FAILURE_PROBABILITY priors</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RCA accuracy &gt;80% (operator feedback)</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M5: Capacity forecaster</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Prediction</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Prophet + LSTM ensemble</w:t>
            </w:r>
          </w:p>
        </w:tc>
        <w:tc>
          <w:tcPr>
            <w:tcW w:type="dxa" w:w="2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METRIC_ROLLUP (90-day minimum), CAPACITY_SPEC ceilings</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MAPE &lt;10% at 30-day horizon (NFR-17)</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M6: Anomaly detector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Prediction</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STL + Isolation Forest</w:t>
            </w:r>
          </w:p>
        </w:tc>
        <w:tc>
          <w:tcPr>
            <w:tcW w:type="dxa" w:w="2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METRIC_DATAPOINT, METRIC_BASELINE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F1 &gt;0.80 on anomaly test set</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M7: Failure probability</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Prediction</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Cox Proportional Hazards</w:t>
            </w:r>
          </w:p>
        </w:tc>
        <w:tc>
          <w:tcPr>
            <w:tcW w:type="dxa" w:w="2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METRIC_ROLLUP, confirmed hardware failure events</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Concordance index &gt;0.75</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M8: Degradation trend</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Prediction</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Linear regression</w:t>
            </w:r>
          </w:p>
        </w:tc>
        <w:tc>
          <w:tcPr>
            <w:tcW w:type="dxa" w:w="2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METRIC_ROLLUP 14-day windows</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2</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MAE &lt;5% of threshold value</w:t>
            </w:r>
          </w:p>
        </w:tc>
      </w:tr>
      <w:tr>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M9: Graph impact scorer</w:t>
            </w:r>
          </w:p>
        </w:tc>
        <w:tc>
          <w:tcPr>
            <w:tcW w:type="dxa" w:w="1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What-If</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LightGBM + Monte Carlo</w:t>
            </w:r>
          </w:p>
        </w:tc>
        <w:tc>
          <w:tcPr>
            <w:tcW w:type="dxa" w:w="2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CORRELATED_INCIDENT.impact_severity_map, resolved incidents</w:t>
            </w:r>
          </w:p>
        </w:tc>
        <w:tc>
          <w:tcPr>
            <w:tcW w:type="dxa" w:w="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3</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Node coverage &gt;99% of reachable graph</w:t>
            </w:r>
          </w:p>
        </w:tc>
      </w:tr>
      <w:tr>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M10: Load redistributor</w:t>
            </w:r>
          </w:p>
        </w:tc>
        <w:tc>
          <w:tcPr>
            <w:tcW w:type="dxa" w:w="14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What-If</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CSP solver (no training)</w:t>
            </w:r>
          </w:p>
        </w:tc>
        <w:tc>
          <w:tcPr>
            <w:tcW w:type="dxa" w:w="2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Live METRIC_ROLLUP + CAPACITY_SPEC (parameterised at run time)</w:t>
            </w:r>
          </w:p>
        </w:tc>
        <w:tc>
          <w:tcPr>
            <w:tcW w:type="dxa" w:w="5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3</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Execution &lt;10 seconds (NFR-04)</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9.2 Shared Feature Store</w:t>
      </w:r>
    </w:p>
    <w:p>
      <w:pPr>
        <w:spacing w:before="80" w:after="120"/>
      </w:pPr>
      <w:r>
        <w:rPr>
          <w:rFonts w:ascii="Arial" w:cs="Arial" w:eastAsia="Arial" w:hAnsi="Arial"/>
          <w:color w:val="000000"/>
          <w:sz w:val="22"/>
          <w:szCs w:val="22"/>
        </w:rPr>
        <w:t xml:space="preserve">The feature store (MG-02) ensures that all features are computed identically at training time (from TimescaleDB historical data) and at inference time (from live METRIC_DATAPOINT and Neo4j graph state). Features are organized into three groups:</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34AB7" w:sz="6"/>
              <w:left w:val="single" w:color="534AB7" w:sz="6"/>
              <w:bottom w:val="single" w:color="534AB7" w:sz="6"/>
              <w:right w:val="single" w:color="534AB7" w:sz="6"/>
            </w:tcBorders>
            <w:shd w:fill="534AB7"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Feature Group 1 — Device Identity (M1, M2, M9)</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rPr>
          <w:tblHeader/>
        </w:trPr>
        <w:tc>
          <w:tcPr>
            <w:tcW w:type="dxa" w:w="22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 Name</w:t>
            </w:r>
          </w:p>
        </w:tc>
        <w:tc>
          <w:tcPr>
            <w:tcW w:type="dxa" w:w="30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 Entity / Field</w:t>
            </w:r>
          </w:p>
        </w:tc>
        <w:tc>
          <w:tcPr>
            <w:tcW w:type="dxa" w:w="150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660"/>
            <w:tcBorders>
              <w:top w:val="single" w:color="534AB7" w:sz="4"/>
              <w:left w:val="single" w:color="534AB7" w:sz="4"/>
              <w:bottom w:val="single" w:color="534AB7" w:sz="4"/>
              <w:right w:val="single" w:color="534AB7" w:sz="4"/>
            </w:tcBorders>
            <w:shd w:fill="534AB7"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Consuming Models</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snmp_enterprise_bucket</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discovery.snmp.results sys_oid → manufacturer enum</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Categorical (30 buckets)</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sys_descr_tfidf[50]</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sys_descr → tokenisation → TF-IDF → SVD-50</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Dense float[50]</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mib_support_flags[8]</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Supported MIB OID set → boolean array</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Boolean[8]</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port_profile[4]</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total_port_count, ethernet_ratio, fibre_ratio, serial_present</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Float[4]</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redfish_type_category</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discovery.bmc.results @odata.type → enum</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Categorical (20 types)</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chassis_type</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discovery.bmc.results ChassisType field</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Categorical</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M2</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node_criticality</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INFRASTRUCTURE_ENTITY.criticality_level</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Ordinal (P1–P4)</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M1, M9</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6"/>
              <w:left w:val="single" w:color="059669" w:sz="6"/>
              <w:bottom w:val="single" w:color="059669" w:sz="6"/>
              <w:right w:val="single" w:color="059669" w:sz="6"/>
            </w:tcBorders>
            <w:shd w:fill="059669"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Feature Group 2 — Temporal / Metric (M5, M6, M7, M8)</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rPr>
          <w:tblHeader/>
        </w:trPr>
        <w:tc>
          <w:tcPr>
            <w:tcW w:type="dxa" w:w="22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 Name</w:t>
            </w:r>
          </w:p>
        </w:tc>
        <w:tc>
          <w:tcPr>
            <w:tcW w:type="dxa" w:w="30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 Entity / Field</w:t>
            </w:r>
          </w:p>
        </w:tc>
        <w:tc>
          <w:tcPr>
            <w:tcW w:type="dxa" w:w="150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660"/>
            <w:tcBorders>
              <w:top w:val="single" w:color="059669" w:sz="4"/>
              <w:left w:val="single" w:color="059669" w:sz="4"/>
              <w:bottom w:val="single" w:color="059669" w:sz="4"/>
              <w:right w:val="single" w:color="059669" w:sz="4"/>
            </w:tcBorders>
            <w:shd w:fill="059669"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Consuming Models</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hour_of_day</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Derived from METRIC_DATAPOINT.event_ts</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 (0–23)</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M5, M6</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day_of_week</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Derived from METRIC_DATAPOINT.event_ts</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 (0–6)</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M5, M6</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rolling_mean_1h/6h/24h/7d</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METRIC_ROLLUP avg_value per window</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M5, M6, M8</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rolling_stddev_1h/24h/7d</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METRIC_ROLLUP stddev per window</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M5, M6</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power_per_cpu_ratio</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Derived: power_draw_w / (cpu_utilisation_pct + 1)</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M6, M7</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temp_delta_from_baseline</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inlet_temperature_c − METRIC_BASELINE.mean_value</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M6, M7</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error_rate_trend_slope</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Linear regression slope of error_count over 30-day window</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M7, M8</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mtbf_age_ratio</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device_age_days / manufacturer_mtbf_days (static reference data)</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M7</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anomaly_flag_count_30d</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COUNT(ANOMALY_FLAG) per entity last 30 days</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M7</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capacity_headroom_pct</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(CAPACITY_SPEC.usable_value − current METRIC_ROLLUP avg) / usable_value</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 (0–1)</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M5, M9</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6"/>
              <w:bottom w:val="single" w:color="B91C1C" w:sz="6"/>
              <w:right w:val="single" w:color="B91C1C" w:sz="6"/>
            </w:tcBorders>
            <w:shd w:fill="B91C1C" w:val="clear"/>
            <w:tcMar>
              <w:top w:type="dxa" w:w="100"/>
              <w:left w:type="dxa" w:w="180"/>
              <w:bottom w:type="dxa" w:w="100"/>
              <w:right w:type="dxa" w:w="180"/>
            </w:tcMar>
          </w:tcPr>
          <w:p>
            <w:pPr>
              <w:spacing w:before="0" w:after="0"/>
            </w:pPr>
            <w:r>
              <w:rPr>
                <w:rFonts w:ascii="Arial" w:cs="Arial" w:eastAsia="Arial" w:hAnsi="Arial"/>
                <w:b/>
                <w:bCs/>
                <w:color w:val="FFFFFF"/>
                <w:sz w:val="22"/>
                <w:szCs w:val="22"/>
              </w:rPr>
              <w:t xml:space="preserve">Feature Group 3 — Alert / Topology (M3, M4, M9)</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rPr>
          <w:tblHeader/>
        </w:trPr>
        <w:tc>
          <w:tcPr>
            <w:tcW w:type="dxa" w:w="22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 Name</w:t>
            </w:r>
          </w:p>
        </w:tc>
        <w:tc>
          <w:tcPr>
            <w:tcW w:type="dxa" w:w="30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 Entity / Field</w:t>
            </w:r>
          </w:p>
        </w:tc>
        <w:tc>
          <w:tcPr>
            <w:tcW w:type="dxa" w:w="150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Type</w:t>
            </w:r>
          </w:p>
        </w:tc>
        <w:tc>
          <w:tcPr>
            <w:tcW w:type="dxa" w:w="2660"/>
            <w:tcBorders>
              <w:top w:val="single" w:color="B91C1C" w:sz="4"/>
              <w:left w:val="single" w:color="B91C1C" w:sz="4"/>
              <w:bottom w:val="single" w:color="B91C1C" w:sz="4"/>
              <w:right w:val="single" w:color="B91C1C" w:sz="4"/>
            </w:tcBorders>
            <w:shd w:fill="B91C1C"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Consuming Models</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alert_temporal_distance_s</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abs(event_ts_A − event_ts_B) from ALERT_EVENT</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M3</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alert_semantic_similarity</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TF-IDF cosine similarity of canonical_alert_name pairs</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 (0–1)</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M3</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graph_hop_distance</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Neo4j shortest path (Cypher) between entity_ids via any edge type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M3, M4</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upstream_alert_count</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Count of ALERT_EVENT records downstream of candidate root cause</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M4</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first_alert_lag_ms</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Time from candidate entity's alert to cluster's earliest alert</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M4</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recent_graph_mutation</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Boolean: GRAPH_MUTATION_LOG entry on entity within last 24 hours</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Boolean</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M4</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historical_root_cause_count</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COUNT(CORRELATED_INCIDENT) where entity was confirmed root cause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M4</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failure_probability</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FAILURE_PROBABILITY.probability_score — cross-model feature from M7</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Float (0–1)</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M4, M9</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edge_type_to_root</w:t>
            </w:r>
          </w:p>
        </w:tc>
        <w:tc>
          <w:tcPr>
            <w:tcW w:type="dxa" w:w="3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relationship_type of the graph edge connecting entity to root cause</w:t>
            </w:r>
          </w:p>
        </w:tc>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Categorical</w:t>
            </w:r>
          </w:p>
        </w:tc>
        <w:tc>
          <w:tcPr>
            <w:tcW w:type="dxa" w:w="2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M9</w:t>
            </w:r>
          </w:p>
        </w:tc>
      </w:tr>
      <w:tr>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path_depth</w:t>
            </w:r>
          </w:p>
        </w:tc>
        <w:tc>
          <w:tcPr>
            <w:tcW w:type="dxa" w:w="30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Neo4j hop count from root failure entity to this affected entity</w:t>
            </w:r>
          </w:p>
        </w:tc>
        <w:tc>
          <w:tcPr>
            <w:tcW w:type="dxa" w:w="15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Integer</w:t>
            </w:r>
          </w:p>
        </w:tc>
        <w:tc>
          <w:tcPr>
            <w:tcW w:type="dxa" w:w="26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M9</w:t>
            </w:r>
          </w:p>
        </w:tc>
      </w:tr>
    </w:tbl>
    <w:p>
      <w:r>
        <w:br w:type="page"/>
      </w:r>
    </w:p>
    <w:p>
      <w:pPr>
        <w:pStyle w:val="Heading1"/>
        <w:spacing w:before="480" w:after="200"/>
      </w:pPr>
      <w:bookmarkStart w:name="governance" w:id="1"/>
      <w:r>
        <w:rPr>
          <w:rFonts w:ascii="Arial" w:cs="Arial" w:eastAsia="Arial" w:hAnsi="Arial"/>
          <w:b/>
          <w:bCs/>
          <w:color w:val="0D1B2A"/>
          <w:sz w:val="32"/>
          <w:szCs w:val="32"/>
        </w:rPr>
        <w:t xml:space="preserve">10. Governance, Security &amp; Compliance</w:t>
      </w:r>
      <w:bookmarkEnd w:id="1"/>
    </w:p>
    <w:p>
      <w:pPr>
        <w:pStyle w:val="Heading2"/>
        <w:spacing w:before="320" w:after="160"/>
      </w:pPr>
      <w:r>
        <w:rPr>
          <w:rFonts w:ascii="Arial" w:cs="Arial" w:eastAsia="Arial" w:hAnsi="Arial"/>
          <w:b/>
          <w:bCs/>
          <w:color w:val="1E3A4C"/>
          <w:sz w:val="26"/>
          <w:szCs w:val="26"/>
        </w:rPr>
        <w:t xml:space="preserve">10.1 Role-Based Access Control</w:t>
      </w:r>
    </w:p>
    <w:p>
      <w:pPr>
        <w:spacing w:before="80" w:after="120"/>
      </w:pPr>
      <w:r>
        <w:rPr>
          <w:rFonts w:ascii="Arial" w:cs="Arial" w:eastAsia="Arial" w:hAnsi="Arial"/>
          <w:color w:val="000000"/>
          <w:sz w:val="22"/>
          <w:szCs w:val="22"/>
        </w:rPr>
        <w:t xml:space="preserve">FlowCore implements four RBAC roles as defined in SEC-02, managed via Keycloak (auth-rbac-service). JWT tokens issued by Keycloak carry the user's role as a claim; the API gateway validates tokens and services validate OAuth scopes and RBAC roles independently.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rPr>
          <w:tblHeader/>
        </w:trPr>
        <w:tc>
          <w:tcPr>
            <w:tcW w:type="dxa" w:w="1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RBAC Role</w:t>
            </w:r>
          </w:p>
        </w:tc>
        <w:tc>
          <w:tcPr>
            <w:tcW w:type="dxa" w:w="26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Permissions</w:t>
            </w:r>
          </w:p>
        </w:tc>
        <w:tc>
          <w:tcPr>
            <w:tcW w:type="dxa" w:w="220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 Access Scope</w:t>
            </w:r>
          </w:p>
        </w:tc>
        <w:tc>
          <w:tcPr>
            <w:tcW w:type="dxa" w:w="2960"/>
            <w:tcBorders>
              <w:top w:val="single" w:color="0D1B2A" w:sz="4"/>
              <w:left w:val="single" w:color="0D1B2A" w:sz="4"/>
              <w:bottom w:val="single" w:color="0D1B2A" w:sz="4"/>
              <w:right w:val="single" w:color="0D1B2A" w:sz="4"/>
            </w:tcBorders>
            <w:shd w:fill="0D1B2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Use Cases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NOC_OPERATOR</w:t>
            </w:r>
          </w:p>
        </w:tc>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Read all graph entities and metrics; Submit alert/classification feedback; View drift events and incidents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Read-only on live graph; write-only to CLASSIFICATION_RESULT.operator_feedback and CORRELATED_INCIDENT.operator_verdict</w:t>
            </w:r>
          </w:p>
        </w:tc>
        <w:tc>
          <w:tcPr>
            <w:tcW w:type="dxa" w:w="2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Tier-1 and Tier-2 NOC engineers monitoring the live environment</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CHANGE_MANAGER</w:t>
            </w:r>
          </w:p>
        </w:tc>
        <w:tc>
          <w:tcPr>
            <w:tcW w:type="dxa" w:w="2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All NOC_OPERATOR permissions; Create and run what-if simulations; Save and share simulation scenarios</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Read-only on live graph; read/write on SIMULATION_SCENARIO/RESULT</w:t>
            </w:r>
          </w:p>
        </w:tc>
        <w:tc>
          <w:tcPr>
            <w:tcW w:type="dxa" w:w="29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Change managers preparing for CAB reviews and impact assessments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DC_ADMIN</w:t>
            </w:r>
          </w:p>
        </w:tc>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All CHANGE_MANAGER permissions; Write ENTITY_ATTRIBUTE values; Accept or dismiss drift suggestions; Configure source systems</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Read/write on INFRASTRUCTURE_ENTITY attributes; write on DRIFT_SUGGESTION.operator_decision</w:t>
            </w:r>
          </w:p>
        </w:tc>
        <w:tc>
          <w:tcPr>
            <w:tcW w:type="dxa" w:w="2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Data center operations managers and DCIM/asset teams</w:t>
            </w:r>
          </w:p>
        </w:tc>
      </w:tr>
      <w:tr>
        <w:tc>
          <w:tcPr>
            <w:tcW w:type="dxa" w:w="1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PLATFORM_ADMIN</w:t>
            </w:r>
          </w:p>
        </w:tc>
        <w:tc>
          <w:tcPr>
            <w:tcW w:type="dxa" w:w="2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Full access including tenant management, source system configuration, FIELD_MAPPING management, and user provisioning</w:t>
            </w:r>
          </w:p>
        </w:tc>
        <w:tc>
          <w:tcPr>
            <w:tcW w:type="dxa" w:w="22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Full read/write on all entities across assigned tenants</w:t>
            </w:r>
          </w:p>
        </w:tc>
        <w:tc>
          <w:tcPr>
            <w:tcW w:type="dxa" w:w="29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Platform engineers and support staff</w:t>
            </w:r>
          </w:p>
        </w:tc>
      </w:tr>
    </w:tbl>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10.2 Audit &amp; Compliance</w:t>
      </w:r>
    </w:p>
    <w:p>
      <w:pPr>
        <w:pStyle w:val="ListParagraph"/>
        <w:numPr>
          <w:ilvl w:val="0"/>
          <w:numId w:val="2"/>
        </w:numPr>
        <w:spacing w:before="40" w:after="40"/>
      </w:pPr>
      <w:r>
        <w:rPr>
          <w:rFonts w:ascii="Arial" w:cs="Arial" w:eastAsia="Arial" w:hAnsi="Arial"/>
          <w:color w:val="000000"/>
          <w:sz w:val="22"/>
          <w:szCs w:val="22"/>
        </w:rPr>
        <w:t xml:space="preserve">SEC-01 — Immutable audit log: Every user action, API call, and AI agent decision is recorded in AUDIT_LOG_ENTRY with user_id, timestamp, action, resource_type, resource_id, IP address, and change payload. The is_immutable flag prevents modification. Minimum 12-month retention (NFR-14).</w:t>
      </w:r>
    </w:p>
    <w:p>
      <w:pPr>
        <w:pStyle w:val="ListParagraph"/>
        <w:numPr>
          <w:ilvl w:val="0"/>
          <w:numId w:val="2"/>
        </w:numPr>
        <w:spacing w:before="40" w:after="40"/>
      </w:pPr>
      <w:r>
        <w:rPr>
          <w:rFonts w:ascii="Arial" w:cs="Arial" w:eastAsia="Arial" w:hAnsi="Arial"/>
          <w:color w:val="000000"/>
          <w:sz w:val="22"/>
          <w:szCs w:val="22"/>
        </w:rPr>
        <w:t xml:space="preserve">SEC-03 — Multi-tenant isolation: TENANT.neo4j_partition_key enforces graph partition boundaries. tenant_id on every entity prevents cross-tenant data access. Automated access boundary tests run in CI/CD.</w:t>
      </w:r>
    </w:p>
    <w:p>
      <w:pPr>
        <w:pStyle w:val="ListParagraph"/>
        <w:numPr>
          <w:ilvl w:val="0"/>
          <w:numId w:val="2"/>
        </w:numPr>
        <w:spacing w:before="40" w:after="40"/>
      </w:pPr>
      <w:r>
        <w:rPr>
          <w:rFonts w:ascii="Arial" w:cs="Arial" w:eastAsia="Arial" w:hAnsi="Arial"/>
          <w:color w:val="000000"/>
          <w:sz w:val="22"/>
          <w:szCs w:val="22"/>
        </w:rPr>
        <w:t xml:space="preserve">NFR-11 — Encryption at rest: AES-256 for all persistent stores (Neo4j, TimescaleDB, PostgreSQL, S3).</w:t>
      </w:r>
    </w:p>
    <w:p>
      <w:pPr>
        <w:pStyle w:val="ListParagraph"/>
        <w:numPr>
          <w:ilvl w:val="0"/>
          <w:numId w:val="2"/>
        </w:numPr>
        <w:spacing w:before="40" w:after="40"/>
      </w:pPr>
      <w:r>
        <w:rPr>
          <w:rFonts w:ascii="Arial" w:cs="Arial" w:eastAsia="Arial" w:hAnsi="Arial"/>
          <w:color w:val="000000"/>
          <w:sz w:val="22"/>
          <w:szCs w:val="22"/>
        </w:rPr>
        <w:t xml:space="preserve">NFR-12 — Encryption in transit: TLS 1.2 minimum, TLS 1.3 preferred for all service-to-service and client-to-server communication. mTLS for service-to-service calls.</w:t>
      </w:r>
    </w:p>
    <w:p>
      <w:pPr>
        <w:pStyle w:val="ListParagraph"/>
        <w:numPr>
          <w:ilvl w:val="0"/>
          <w:numId w:val="2"/>
        </w:numPr>
        <w:spacing w:before="40" w:after="40"/>
      </w:pPr>
      <w:r>
        <w:rPr>
          <w:rFonts w:ascii="Arial" w:cs="Arial" w:eastAsia="Arial" w:hAnsi="Arial"/>
          <w:color w:val="000000"/>
          <w:sz w:val="22"/>
          <w:szCs w:val="22"/>
        </w:rPr>
        <w:t xml:space="preserve">SEC-04 — PII handling: User accounts and API keys stored with encryption per GDPR data minimization principles.</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10.3 Data Quality Framework</w:t>
      </w:r>
    </w:p>
    <w:p>
      <w:pPr>
        <w:pStyle w:val="ListParagraph"/>
        <w:numPr>
          <w:ilvl w:val="0"/>
          <w:numId w:val="2"/>
        </w:numPr>
        <w:spacing w:before="40" w:after="40"/>
      </w:pPr>
      <w:r>
        <w:rPr>
          <w:rFonts w:ascii="Arial" w:cs="Arial" w:eastAsia="Arial" w:hAnsi="Arial"/>
          <w:color w:val="000000"/>
          <w:sz w:val="22"/>
          <w:szCs w:val="22"/>
        </w:rPr>
        <w:t xml:space="preserve">DQ-01 — Schema validation: All inbound records validated against registered schemas before processing. Failures quarantined to DEAD_LETTER_RECORD with Kafka offset for replay.</w:t>
      </w:r>
    </w:p>
    <w:p>
      <w:pPr>
        <w:pStyle w:val="ListParagraph"/>
        <w:numPr>
          <w:ilvl w:val="0"/>
          <w:numId w:val="2"/>
        </w:numPr>
        <w:spacing w:before="40" w:after="40"/>
      </w:pPr>
      <w:r>
        <w:rPr>
          <w:rFonts w:ascii="Arial" w:cs="Arial" w:eastAsia="Arial" w:hAnsi="Arial"/>
          <w:color w:val="000000"/>
          <w:sz w:val="22"/>
          <w:szCs w:val="22"/>
        </w:rPr>
        <w:t xml:space="preserve">DQ-02 — Entity deduplication: graph-updater-service applies ENTITY_RESOLUTION_RULE before Neo4j write to prevent duplicate canonical entities from multiple sources.</w:t>
      </w:r>
    </w:p>
    <w:p>
      <w:pPr>
        <w:pStyle w:val="ListParagraph"/>
        <w:numPr>
          <w:ilvl w:val="0"/>
          <w:numId w:val="2"/>
        </w:numPr>
        <w:spacing w:before="40" w:after="40"/>
      </w:pPr>
      <w:r>
        <w:rPr>
          <w:rFonts w:ascii="Arial" w:cs="Arial" w:eastAsia="Arial" w:hAnsi="Arial"/>
          <w:color w:val="000000"/>
          <w:sz w:val="22"/>
          <w:szCs w:val="22"/>
        </w:rPr>
        <w:t xml:space="preserve">DQ-03 — Stale telemetry detection: STALE_TELEMETRY_EVENT generated when a monitored entity stops reporting beyond configurable threshold (default 5 minutes).</w:t>
      </w:r>
    </w:p>
    <w:p>
      <w:pPr>
        <w:pStyle w:val="ListParagraph"/>
        <w:numPr>
          <w:ilvl w:val="0"/>
          <w:numId w:val="2"/>
        </w:numPr>
        <w:spacing w:before="40" w:after="40"/>
      </w:pPr>
      <w:r>
        <w:rPr>
          <w:rFonts w:ascii="Arial" w:cs="Arial" w:eastAsia="Arial" w:hAnsi="Arial"/>
          <w:color w:val="000000"/>
          <w:sz w:val="22"/>
          <w:szCs w:val="22"/>
        </w:rPr>
        <w:t xml:space="preserve">DQ-04 — Data quality scoring: NODE_QUALITY_SCORE computed per INFRASTRUCTURE_ENTITY with completeness_score (fraction of expected ENTITY_ATTRIBUTE rows present) and freshness_score (derived from last_seen_at vs threshold). Surfaced in Drift &amp; Hygiene Dashboard.</w:t>
      </w:r>
    </w:p>
    <w:p>
      <w:pPr>
        <w:spacing w:before="60" w:after="0"/>
      </w:pPr>
      <w:r>
        <w:rPr>
          <w:rFonts w:ascii="Arial" w:cs="Arial" w:eastAsia="Arial" w:hAnsi="Arial"/>
          <w:sz w:val="22"/>
          <w:szCs w:val="22"/>
        </w:rPr>
        <w:t xml:space="preserve"> </w:t>
      </w:r>
    </w:p>
    <w:p>
      <w:pPr>
        <w:pStyle w:val="Heading2"/>
        <w:spacing w:before="320" w:after="160"/>
      </w:pPr>
      <w:r>
        <w:rPr>
          <w:rFonts w:ascii="Arial" w:cs="Arial" w:eastAsia="Arial" w:hAnsi="Arial"/>
          <w:b/>
          <w:bCs/>
          <w:color w:val="1E3A4C"/>
          <w:sz w:val="26"/>
          <w:szCs w:val="26"/>
        </w:rPr>
        <w:t xml:space="preserve">10.4 Model Governance (MLflow)</w:t>
      </w:r>
    </w:p>
    <w:p>
      <w:pPr>
        <w:pStyle w:val="ListParagraph"/>
        <w:numPr>
          <w:ilvl w:val="0"/>
          <w:numId w:val="2"/>
        </w:numPr>
        <w:spacing w:before="40" w:after="40"/>
      </w:pPr>
      <w:r>
        <w:rPr>
          <w:rFonts w:ascii="Arial" w:cs="Arial" w:eastAsia="Arial" w:hAnsi="Arial"/>
          <w:color w:val="000000"/>
          <w:sz w:val="22"/>
          <w:szCs w:val="22"/>
        </w:rPr>
        <w:t xml:space="preserve">MG-01: All ML models versioned in MLflow with training metadata, evaluation metrics, feature set definition, and deployment history.</w:t>
      </w:r>
    </w:p>
    <w:p>
      <w:pPr>
        <w:pStyle w:val="ListParagraph"/>
        <w:numPr>
          <w:ilvl w:val="0"/>
          <w:numId w:val="2"/>
        </w:numPr>
        <w:spacing w:before="40" w:after="40"/>
      </w:pPr>
      <w:r>
        <w:rPr>
          <w:rFonts w:ascii="Arial" w:cs="Arial" w:eastAsia="Arial" w:hAnsi="Arial"/>
          <w:color w:val="000000"/>
          <w:sz w:val="22"/>
          <w:szCs w:val="22"/>
        </w:rPr>
        <w:t xml:space="preserve">MG-02: Feature store maintains consistent feature definitions shared across all agents to prevent training-serving skew.</w:t>
      </w:r>
    </w:p>
    <w:p>
      <w:pPr>
        <w:pStyle w:val="ListParagraph"/>
        <w:numPr>
          <w:ilvl w:val="0"/>
          <w:numId w:val="2"/>
        </w:numPr>
        <w:spacing w:before="40" w:after="40"/>
      </w:pPr>
      <w:r>
        <w:rPr>
          <w:rFonts w:ascii="Arial" w:cs="Arial" w:eastAsia="Arial" w:hAnsi="Arial"/>
          <w:color w:val="000000"/>
          <w:sz w:val="22"/>
          <w:szCs w:val="22"/>
        </w:rPr>
        <w:t xml:space="preserve">MG-03: Model performance metrics computed continuously; automated alerts fire when metrics breach defined thresholds.</w:t>
      </w:r>
    </w:p>
    <w:p>
      <w:pPr>
        <w:pStyle w:val="ListParagraph"/>
        <w:numPr>
          <w:ilvl w:val="0"/>
          <w:numId w:val="2"/>
        </w:numPr>
        <w:spacing w:before="40" w:after="40"/>
      </w:pPr>
      <w:r>
        <w:rPr>
          <w:rFonts w:ascii="Arial" w:cs="Arial" w:eastAsia="Arial" w:hAnsi="Arial"/>
          <w:color w:val="000000"/>
          <w:sz w:val="22"/>
          <w:szCs w:val="22"/>
        </w:rPr>
        <w:t xml:space="preserve">MG-04: Retraining pipelines fully automated with gated deployment — offline validation required before production promotion.</w:t>
      </w:r>
    </w:p>
    <w:p>
      <w:pPr>
        <w:pStyle w:val="ListParagraph"/>
        <w:numPr>
          <w:ilvl w:val="0"/>
          <w:numId w:val="2"/>
        </w:numPr>
        <w:spacing w:before="40" w:after="40"/>
      </w:pPr>
      <w:r>
        <w:rPr>
          <w:rFonts w:ascii="Arial" w:cs="Arial" w:eastAsia="Arial" w:hAnsi="Arial"/>
          <w:color w:val="000000"/>
          <w:sz w:val="22"/>
          <w:szCs w:val="22"/>
        </w:rPr>
        <w:t xml:space="preserve">MG-05: Concept drift detection applied to all prediction models; drift breach triggers automatic retraining via P10 pipeline.</w:t>
      </w:r>
    </w:p>
    <w:p>
      <w:r>
        <w:br w:type="page"/>
      </w:r>
    </w:p>
    <w:p>
      <w:pPr>
        <w:pStyle w:val="Heading1"/>
        <w:spacing w:before="480" w:after="200"/>
      </w:pPr>
      <w:bookmarkStart w:name="appendix-a" w:id="1"/>
      <w:r>
        <w:rPr>
          <w:rFonts w:ascii="Arial" w:cs="Arial" w:eastAsia="Arial" w:hAnsi="Arial"/>
          <w:b/>
          <w:bCs/>
          <w:color w:val="0D1B2A"/>
          <w:sz w:val="32"/>
          <w:szCs w:val="32"/>
        </w:rPr>
        <w:t xml:space="preserve">Appendix A — Interactive Diagram Files</w:t>
      </w:r>
      <w:bookmarkEnd w:id="1"/>
    </w:p>
    <w:p>
      <w:pPr>
        <w:spacing w:before="80" w:after="120"/>
      </w:pPr>
      <w:r>
        <w:rPr>
          <w:rFonts w:ascii="Arial" w:cs="Arial" w:eastAsia="Arial" w:hAnsi="Arial"/>
          <w:color w:val="000000"/>
          <w:sz w:val="22"/>
          <w:szCs w:val="22"/>
        </w:rPr>
        <w:t xml:space="preserve">The following HTML files are included in the companion zip archive alongside this document. Each file is a fully self-contained interactive diagram that runs in any modern browser without an internet connection. The HTML files use Mermaid.js loaded from CDN — for offline use, replace the CDN script tag with a local copy.</w:t>
      </w:r>
    </w:p>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w:t>
            </w:r>
          </w:p>
        </w:tc>
        <w:tc>
          <w:tcPr>
            <w:tcW w:type="dxa" w:w="26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Diagram</w:t>
            </w:r>
          </w:p>
        </w:tc>
        <w:tc>
          <w:tcPr>
            <w:tcW w:type="dxa" w:w="180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Layer</w:t>
            </w:r>
          </w:p>
        </w:tc>
        <w:tc>
          <w:tcPr>
            <w:tcW w:type="dxa" w:w="2160"/>
            <w:tcBorders>
              <w:top w:val="single" w:color="0891B2" w:sz="4"/>
              <w:left w:val="single" w:color="0891B2" w:sz="4"/>
              <w:bottom w:val="single" w:color="0891B2" w:sz="4"/>
              <w:right w:val="single" w:color="0891B2" w:sz="4"/>
            </w:tcBorders>
            <w:shd w:fill="0891B2"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Features</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erd1_physical_registry.html</w:t>
            </w:r>
          </w:p>
        </w:tc>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ERD 1 — Canonical Physical Registry</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Layer 1 (Neo4j)</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Scroll-to-zoom, drag-to-pan, zoom buttons, fit-to-screen, purple theme</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erd2_source_normalisation.html</w:t>
            </w:r>
          </w:p>
        </w:tc>
        <w:tc>
          <w:tcPr>
            <w:tcW w:type="dxa" w:w="2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ERD 2 — Source Normalisation Layer</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Layer 2 (PostgreSQL)</w:t>
            </w:r>
          </w:p>
        </w:tc>
        <w:tc>
          <w:tcPr>
            <w:tcW w:type="dxa" w:w="2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Scroll-to-zoom, drag-to-pan, zoom buttons, fit-to-screen, gold theme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erd3_telemetry_live_state.html</w:t>
            </w:r>
          </w:p>
        </w:tc>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ERD 3 — Telemetry &amp; Live State Layer</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Layer 3 (TimescaleDB)</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Scroll-to-zoom, drag-to-pan, zoom buttons, fit-to-screen, green theme</w:t>
            </w:r>
          </w:p>
        </w:tc>
      </w:tr>
      <w:tr>
        <w:tc>
          <w:tcPr>
            <w:tcW w:type="dxa" w:w="2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erd4_agent_outputs.html</w:t>
            </w:r>
          </w:p>
        </w:tc>
        <w:tc>
          <w:tcPr>
            <w:tcW w:type="dxa" w:w="26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ERD 4 — Agent Output Entities</w:t>
            </w:r>
          </w:p>
        </w:tc>
        <w:tc>
          <w:tcPr>
            <w:tcW w:type="dxa" w:w="180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Layer 4 (PostgreSQL + Neo4j)</w:t>
            </w:r>
          </w:p>
        </w:tc>
        <w:tc>
          <w:tcPr>
            <w:tcW w:type="dxa" w:w="2160"/>
            <w:tcBorders>
              <w:top w:val="single" w:color="D1D5DB" w:sz="2"/>
              <w:left w:val="single" w:color="D1D5DB" w:sz="2"/>
              <w:bottom w:val="single" w:color="D1D5DB" w:sz="2"/>
              <w:right w:val="single" w:color="D1D5DB" w:sz="2"/>
            </w:tcBorders>
            <w:shd w:fill="F1F5F9"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Scroll-to-zoom, drag-to-pan, zoom buttons, fit-to-screen, red theme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534AB7"/>
                <w:sz w:val="19"/>
                <w:szCs w:val="19"/>
              </w:rPr>
              <w:t xml:space="preserve">pipeline_data_flow.html</w:t>
            </w:r>
          </w:p>
        </w:tc>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891B2"/>
                <w:sz w:val="19"/>
                <w:szCs w:val="19"/>
              </w:rPr>
              <w:t xml:space="preserve">Pipeline Data Flow — Source to AI Agents</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All Layers</w:t>
            </w:r>
          </w:p>
        </w:tc>
        <w:tc>
          <w:tcPr>
            <w:tcW w:type="dxa" w:w="2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vAlign w:val="top"/>
          </w:tcPr>
          <w:p>
            <w:pPr>
              <w:spacing w:before="0" w:after="0"/>
            </w:pPr>
            <w:r>
              <w:rPr>
                <w:rFonts w:ascii="Arial" w:cs="Arial" w:eastAsia="Arial" w:hAnsi="Arial"/>
                <w:color w:val="000000"/>
                <w:sz w:val="19"/>
                <w:szCs w:val="19"/>
              </w:rPr>
              <w:t xml:space="preserve">Scroll-to-zoom, drag-to-pan, flowchart with subgraph grouping, teal theme</w:t>
            </w:r>
          </w:p>
        </w:tc>
      </w:tr>
    </w:tbl>
    <w:p>
      <w:pPr>
        <w:spacing w:before="60" w:after="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891B2" w:val="clear"/>
          </w:tcPr>
          <w:p>
            <w:pPr>
              <w:spacing w:before="80" w:after="120"/>
            </w:pPr>
            <w:r>
              <w:rPr>
                <w:rFonts w:ascii="Arial" w:cs="Arial" w:eastAsia="Arial" w:hAnsi="Arial"/>
                <w:color w:val="000000"/>
                <w:sz w:val="22"/>
                <w:szCs w:val="22"/>
              </w:rPr>
              <w:t xml:space="preserve"> </w:t>
            </w:r>
          </w:p>
        </w:tc>
        <w:tc>
          <w:tcPr>
            <w:tcW w:type="dxa" w:w="9160"/>
            <w:tcBorders>
              <w:top w:val="none" w:color="FFFFFF" w:sz="0"/>
              <w:left w:val="none" w:color="FFFFFF" w:sz="0"/>
              <w:bottom w:val="none" w:color="FFFFFF" w:sz="0"/>
              <w:right w:val="single" w:color="0891B2" w:sz="4"/>
            </w:tcBorders>
            <w:shd w:fill="E0F7FA" w:val="clear"/>
            <w:tcMar>
              <w:top w:type="dxa" w:w="100"/>
              <w:left w:type="dxa" w:w="160"/>
              <w:bottom w:type="dxa" w:w="100"/>
              <w:right w:type="dxa" w:w="160"/>
            </w:tcMar>
          </w:tcPr>
          <w:p>
            <w:pPr>
              <w:spacing w:before="0" w:after="0"/>
            </w:pPr>
            <w:r>
              <w:rPr>
                <w:rFonts w:ascii="Arial" w:cs="Arial" w:eastAsia="Arial" w:hAnsi="Arial"/>
                <w:color w:val="1E3A4C"/>
                <w:sz w:val="21"/>
                <w:szCs w:val="21"/>
              </w:rPr>
              <w:t xml:space="preserve">Usage: Double-click any HTML file to open in your default browser. Use the scroll wheel to zoom in/out. Click and drag to pan. Use the − and + buttons in the top-right toolbar for step zoom. Click 'Fit' to fit the full diagram in the viewport. Click 'Reset' to return to 100% zoom at origin.</w:t>
            </w:r>
          </w:p>
        </w:tc>
      </w:tr>
    </w:tbl>
    <w:p>
      <w:pPr>
        <w:spacing w:before="60" w:after="0"/>
      </w:pPr>
      <w:r>
        <w:rPr>
          <w:rFonts w:ascii="Arial" w:cs="Arial" w:eastAsia="Arial" w:hAnsi="Arial"/>
          <w:sz w:val="22"/>
          <w:szCs w:val="22"/>
        </w:rPr>
        <w:t xml:space="preserve"> </w:t>
      </w:r>
    </w:p>
    <w:p>
      <w:pPr>
        <w:pStyle w:val="Heading1"/>
        <w:spacing w:before="480" w:after="200"/>
      </w:pPr>
      <w:bookmarkStart w:name="appendix-b" w:id="1"/>
      <w:r>
        <w:rPr>
          <w:rFonts w:ascii="Arial" w:cs="Arial" w:eastAsia="Arial" w:hAnsi="Arial"/>
          <w:b/>
          <w:bCs/>
          <w:color w:val="0D1B2A"/>
          <w:sz w:val="32"/>
          <w:szCs w:val="32"/>
        </w:rPr>
        <w:t xml:space="preserve">Appendix B — Controlled Vocabulary Reference</w:t>
      </w:r>
      <w:bookmarkEnd w:id="1"/>
    </w:p>
    <w:p>
      <w:pPr>
        <w:spacing w:before="80" w:after="120"/>
      </w:pPr>
      <w:r>
        <w:rPr>
          <w:rFonts w:ascii="Arial" w:cs="Arial" w:eastAsia="Arial" w:hAnsi="Arial"/>
          <w:color w:val="000000"/>
          <w:sz w:val="22"/>
          <w:szCs w:val="22"/>
        </w:rPr>
        <w:t xml:space="preserve">The following tables list all ENUM values used across the logical model.</w:t>
      </w:r>
    </w:p>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entity_class (INFRASTRUCTURE_ENTITY)</w:t>
      </w:r>
    </w:p>
    <w:p>
      <w:pPr>
        <w:pStyle w:val="ListParagraph"/>
        <w:numPr>
          <w:ilvl w:val="0"/>
          <w:numId w:val="2"/>
        </w:numPr>
        <w:spacing w:before="40" w:after="40"/>
      </w:pPr>
      <w:r>
        <w:rPr>
          <w:rFonts w:ascii="Arial" w:cs="Arial" w:eastAsia="Arial" w:hAnsi="Arial"/>
          <w:color w:val="000000"/>
          <w:sz w:val="22"/>
          <w:szCs w:val="22"/>
        </w:rPr>
        <w:t xml:space="preserve">RACK — Physical rack enclosure</w:t>
      </w:r>
    </w:p>
    <w:p>
      <w:pPr>
        <w:pStyle w:val="ListParagraph"/>
        <w:numPr>
          <w:ilvl w:val="0"/>
          <w:numId w:val="2"/>
        </w:numPr>
        <w:spacing w:before="40" w:after="40"/>
      </w:pPr>
      <w:r>
        <w:rPr>
          <w:rFonts w:ascii="Arial" w:cs="Arial" w:eastAsia="Arial" w:hAnsi="Arial"/>
          <w:color w:val="000000"/>
          <w:sz w:val="22"/>
          <w:szCs w:val="22"/>
        </w:rPr>
        <w:t xml:space="preserve">DEVICE — Any IT or OT device</w:t>
      </w:r>
    </w:p>
    <w:p>
      <w:pPr>
        <w:pStyle w:val="ListParagraph"/>
        <w:numPr>
          <w:ilvl w:val="0"/>
          <w:numId w:val="2"/>
        </w:numPr>
        <w:spacing w:before="40" w:after="40"/>
      </w:pPr>
      <w:r>
        <w:rPr>
          <w:rFonts w:ascii="Arial" w:cs="Arial" w:eastAsia="Arial" w:hAnsi="Arial"/>
          <w:color w:val="000000"/>
          <w:sz w:val="22"/>
          <w:szCs w:val="22"/>
        </w:rPr>
        <w:t xml:space="preserve">PDU — Power distribution unit</w:t>
      </w:r>
    </w:p>
    <w:p>
      <w:pPr>
        <w:pStyle w:val="ListParagraph"/>
        <w:numPr>
          <w:ilvl w:val="0"/>
          <w:numId w:val="2"/>
        </w:numPr>
        <w:spacing w:before="40" w:after="40"/>
      </w:pPr>
      <w:r>
        <w:rPr>
          <w:rFonts w:ascii="Arial" w:cs="Arial" w:eastAsia="Arial" w:hAnsi="Arial"/>
          <w:color w:val="000000"/>
          <w:sz w:val="22"/>
          <w:szCs w:val="22"/>
        </w:rPr>
        <w:t xml:space="preserve">FEED — Upstream power circuit or feed</w:t>
      </w:r>
    </w:p>
    <w:p>
      <w:pPr>
        <w:pStyle w:val="ListParagraph"/>
        <w:numPr>
          <w:ilvl w:val="0"/>
          <w:numId w:val="2"/>
        </w:numPr>
        <w:spacing w:before="40" w:after="40"/>
      </w:pPr>
      <w:r>
        <w:rPr>
          <w:rFonts w:ascii="Arial" w:cs="Arial" w:eastAsia="Arial" w:hAnsi="Arial"/>
          <w:color w:val="000000"/>
          <w:sz w:val="22"/>
          <w:szCs w:val="22"/>
        </w:rPr>
        <w:t xml:space="preserve">INTERFACE — Network interface or port</w:t>
      </w:r>
    </w:p>
    <w:p>
      <w:pPr>
        <w:pStyle w:val="ListParagraph"/>
        <w:numPr>
          <w:ilvl w:val="0"/>
          <w:numId w:val="2"/>
        </w:numPr>
        <w:spacing w:before="40" w:after="40"/>
      </w:pPr>
      <w:r>
        <w:rPr>
          <w:rFonts w:ascii="Arial" w:cs="Arial" w:eastAsia="Arial" w:hAnsi="Arial"/>
          <w:color w:val="000000"/>
          <w:sz w:val="22"/>
          <w:szCs w:val="22"/>
        </w:rPr>
        <w:t xml:space="preserve">SENSOR — Environmental or hardware sensor</w:t>
      </w:r>
    </w:p>
    <w:p>
      <w:pPr>
        <w:pStyle w:val="ListParagraph"/>
        <w:numPr>
          <w:ilvl w:val="0"/>
          <w:numId w:val="2"/>
        </w:numPr>
        <w:spacing w:before="40" w:after="40"/>
      </w:pPr>
      <w:r>
        <w:rPr>
          <w:rFonts w:ascii="Arial" w:cs="Arial" w:eastAsia="Arial" w:hAnsi="Arial"/>
          <w:color w:val="000000"/>
          <w:sz w:val="22"/>
          <w:szCs w:val="22"/>
        </w:rPr>
        <w:t xml:space="preserve">SERVICE — Logical software service or application</w:t>
      </w:r>
    </w:p>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relationship_type (ENTITY_RELATIONSHIP)</w:t>
      </w:r>
    </w:p>
    <w:p>
      <w:pPr>
        <w:pStyle w:val="ListParagraph"/>
        <w:numPr>
          <w:ilvl w:val="0"/>
          <w:numId w:val="2"/>
        </w:numPr>
        <w:spacing w:before="40" w:after="40"/>
      </w:pPr>
      <w:r>
        <w:rPr>
          <w:rFonts w:ascii="Arial" w:cs="Arial" w:eastAsia="Arial" w:hAnsi="Arial"/>
          <w:color w:val="000000"/>
          <w:sz w:val="22"/>
          <w:szCs w:val="22"/>
        </w:rPr>
        <w:t xml:space="preserve">in_rack — Device is physically installed in a Rack</w:t>
      </w:r>
    </w:p>
    <w:p>
      <w:pPr>
        <w:pStyle w:val="ListParagraph"/>
        <w:numPr>
          <w:ilvl w:val="0"/>
          <w:numId w:val="2"/>
        </w:numPr>
        <w:spacing w:before="40" w:after="40"/>
      </w:pPr>
      <w:r>
        <w:rPr>
          <w:rFonts w:ascii="Arial" w:cs="Arial" w:eastAsia="Arial" w:hAnsi="Arial"/>
          <w:color w:val="000000"/>
          <w:sz w:val="22"/>
          <w:szCs w:val="22"/>
        </w:rPr>
        <w:t xml:space="preserve">powered_by — Entity receives power from PDU or Feed</w:t>
      </w:r>
    </w:p>
    <w:p>
      <w:pPr>
        <w:pStyle w:val="ListParagraph"/>
        <w:numPr>
          <w:ilvl w:val="0"/>
          <w:numId w:val="2"/>
        </w:numPr>
        <w:spacing w:before="40" w:after="40"/>
      </w:pPr>
      <w:r>
        <w:rPr>
          <w:rFonts w:ascii="Arial" w:cs="Arial" w:eastAsia="Arial" w:hAnsi="Arial"/>
          <w:color w:val="000000"/>
          <w:sz w:val="22"/>
          <w:szCs w:val="22"/>
        </w:rPr>
        <w:t xml:space="preserve">connected_to — Network connectivity between Interface nodes</w:t>
      </w:r>
    </w:p>
    <w:p>
      <w:pPr>
        <w:pStyle w:val="ListParagraph"/>
        <w:numPr>
          <w:ilvl w:val="0"/>
          <w:numId w:val="2"/>
        </w:numPr>
        <w:spacing w:before="40" w:after="40"/>
      </w:pPr>
      <w:r>
        <w:rPr>
          <w:rFonts w:ascii="Arial" w:cs="Arial" w:eastAsia="Arial" w:hAnsi="Arial"/>
          <w:color w:val="000000"/>
          <w:sz w:val="22"/>
          <w:szCs w:val="22"/>
        </w:rPr>
        <w:t xml:space="preserve">runs — Service runs on a Device</w:t>
      </w:r>
    </w:p>
    <w:p>
      <w:pPr>
        <w:pStyle w:val="ListParagraph"/>
        <w:numPr>
          <w:ilvl w:val="0"/>
          <w:numId w:val="2"/>
        </w:numPr>
        <w:spacing w:before="40" w:after="40"/>
      </w:pPr>
      <w:r>
        <w:rPr>
          <w:rFonts w:ascii="Arial" w:cs="Arial" w:eastAsia="Arial" w:hAnsi="Arial"/>
          <w:color w:val="000000"/>
          <w:sz w:val="22"/>
          <w:szCs w:val="22"/>
        </w:rPr>
        <w:t xml:space="preserve">depends_on — Service or Device depends on another Service or Device</w:t>
      </w:r>
    </w:p>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transform_type (FIELD_MAPPING)</w:t>
      </w:r>
    </w:p>
    <w:p>
      <w:pPr>
        <w:pStyle w:val="ListParagraph"/>
        <w:numPr>
          <w:ilvl w:val="0"/>
          <w:numId w:val="2"/>
        </w:numPr>
        <w:spacing w:before="40" w:after="40"/>
      </w:pPr>
      <w:r>
        <w:rPr>
          <w:rFonts w:ascii="Arial" w:cs="Arial" w:eastAsia="Arial" w:hAnsi="Arial"/>
          <w:color w:val="000000"/>
          <w:sz w:val="22"/>
          <w:szCs w:val="22"/>
        </w:rPr>
        <w:t xml:space="preserve">DIRECT — Copy source value as-is to canonical target</w:t>
      </w:r>
    </w:p>
    <w:p>
      <w:pPr>
        <w:pStyle w:val="ListParagraph"/>
        <w:numPr>
          <w:ilvl w:val="0"/>
          <w:numId w:val="2"/>
        </w:numPr>
        <w:spacing w:before="40" w:after="40"/>
      </w:pPr>
      <w:r>
        <w:rPr>
          <w:rFonts w:ascii="Arial" w:cs="Arial" w:eastAsia="Arial" w:hAnsi="Arial"/>
          <w:color w:val="000000"/>
          <w:sz w:val="22"/>
          <w:szCs w:val="22"/>
        </w:rPr>
        <w:t xml:space="preserve">UNIT_CONVERT — Apply unit_conversion_expr formula (e.g. W to kW)</w:t>
      </w:r>
    </w:p>
    <w:p>
      <w:pPr>
        <w:pStyle w:val="ListParagraph"/>
        <w:numPr>
          <w:ilvl w:val="0"/>
          <w:numId w:val="2"/>
        </w:numPr>
        <w:spacing w:before="40" w:after="40"/>
      </w:pPr>
      <w:r>
        <w:rPr>
          <w:rFonts w:ascii="Arial" w:cs="Arial" w:eastAsia="Arial" w:hAnsi="Arial"/>
          <w:color w:val="000000"/>
          <w:sz w:val="22"/>
          <w:szCs w:val="22"/>
        </w:rPr>
        <w:t xml:space="preserve">ENUM_MAP — Map source enum value to canonical enum value via JSON lookup</w:t>
      </w:r>
    </w:p>
    <w:p>
      <w:pPr>
        <w:pStyle w:val="ListParagraph"/>
        <w:numPr>
          <w:ilvl w:val="0"/>
          <w:numId w:val="2"/>
        </w:numPr>
        <w:spacing w:before="40" w:after="40"/>
      </w:pPr>
      <w:r>
        <w:rPr>
          <w:rFonts w:ascii="Arial" w:cs="Arial" w:eastAsia="Arial" w:hAnsi="Arial"/>
          <w:color w:val="000000"/>
          <w:sz w:val="22"/>
          <w:szCs w:val="22"/>
        </w:rPr>
        <w:t xml:space="preserve">EXPRESSION — Evaluate transform_expression against the full source record</w:t>
      </w:r>
    </w:p>
    <w:p>
      <w:pPr>
        <w:pStyle w:val="ListParagraph"/>
        <w:numPr>
          <w:ilvl w:val="0"/>
          <w:numId w:val="2"/>
        </w:numPr>
        <w:spacing w:before="40" w:after="40"/>
      </w:pPr>
      <w:r>
        <w:rPr>
          <w:rFonts w:ascii="Arial" w:cs="Arial" w:eastAsia="Arial" w:hAnsi="Arial"/>
          <w:color w:val="000000"/>
          <w:sz w:val="22"/>
          <w:szCs w:val="22"/>
        </w:rPr>
        <w:t xml:space="preserve">CONSTANT — Write a constant value regardless of source</w:t>
      </w:r>
    </w:p>
    <w:p>
      <w:pPr>
        <w:pStyle w:val="ListParagraph"/>
        <w:numPr>
          <w:ilvl w:val="0"/>
          <w:numId w:val="2"/>
        </w:numPr>
        <w:spacing w:before="40" w:after="40"/>
      </w:pPr>
      <w:r>
        <w:rPr>
          <w:rFonts w:ascii="Arial" w:cs="Arial" w:eastAsia="Arial" w:hAnsi="Arial"/>
          <w:color w:val="000000"/>
          <w:sz w:val="22"/>
          <w:szCs w:val="22"/>
        </w:rPr>
        <w:t xml:space="preserve">EXTRACT — Extract a sub-field or label value using regex or JSONPath</w:t>
      </w:r>
    </w:p>
    <w:p>
      <w:pPr>
        <w:pStyle w:val="ListParagraph"/>
        <w:numPr>
          <w:ilvl w:val="0"/>
          <w:numId w:val="2"/>
        </w:numPr>
        <w:spacing w:before="40" w:after="40"/>
      </w:pPr>
      <w:r>
        <w:rPr>
          <w:rFonts w:ascii="Arial" w:cs="Arial" w:eastAsia="Arial" w:hAnsi="Arial"/>
          <w:color w:val="000000"/>
          <w:sz w:val="22"/>
          <w:szCs w:val="22"/>
        </w:rPr>
        <w:t xml:space="preserve">PER_ROW — Create one canonical entity per row of a source collection (e.g. per SNMP ifTable row)</w:t>
      </w:r>
    </w:p>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signal_type (IDENTITY_SIGNAL)</w:t>
      </w:r>
    </w:p>
    <w:p>
      <w:pPr>
        <w:pStyle w:val="ListParagraph"/>
        <w:numPr>
          <w:ilvl w:val="0"/>
          <w:numId w:val="2"/>
        </w:numPr>
        <w:spacing w:before="40" w:after="40"/>
      </w:pPr>
      <w:r>
        <w:rPr>
          <w:rFonts w:ascii="Arial" w:cs="Arial" w:eastAsia="Arial" w:hAnsi="Arial"/>
          <w:color w:val="000000"/>
          <w:sz w:val="22"/>
          <w:szCs w:val="22"/>
        </w:rPr>
        <w:t xml:space="preserve">MAC_ADDRESS | SERIAL_NUMBER | IP_ADDRESS | HOSTNAME | SNMP_OID | RACK_USLOT | ASSET_TAG | REDFISH_ID</w:t>
      </w:r>
    </w:p>
    <w:p>
      <w:pPr>
        <w:spacing w:before="60" w:after="0"/>
      </w:pPr>
      <w:r>
        <w:rPr>
          <w:rFonts w:ascii="Arial" w:cs="Arial" w:eastAsia="Arial" w:hAnsi="Arial"/>
          <w:sz w:val="22"/>
          <w:szCs w:val="22"/>
        </w:rPr>
        <w:t xml:space="preserve"> </w:t>
      </w:r>
    </w:p>
    <w:p>
      <w:pPr>
        <w:pStyle w:val="Heading3"/>
        <w:spacing w:before="240" w:after="120"/>
      </w:pPr>
      <w:r>
        <w:rPr>
          <w:rFonts w:ascii="Arial" w:cs="Arial" w:eastAsia="Arial" w:hAnsi="Arial"/>
          <w:b/>
          <w:bCs/>
          <w:color w:val="0891B2"/>
          <w:sz w:val="22"/>
          <w:szCs w:val="22"/>
        </w:rPr>
        <w:t xml:space="preserve">quality_flag (METRIC_DATAPOINT)</w:t>
      </w:r>
    </w:p>
    <w:p>
      <w:pPr>
        <w:pStyle w:val="ListParagraph"/>
        <w:numPr>
          <w:ilvl w:val="0"/>
          <w:numId w:val="2"/>
        </w:numPr>
        <w:spacing w:before="40" w:after="40"/>
      </w:pPr>
      <w:r>
        <w:rPr>
          <w:rFonts w:ascii="Arial" w:cs="Arial" w:eastAsia="Arial" w:hAnsi="Arial"/>
          <w:color w:val="000000"/>
          <w:sz w:val="22"/>
          <w:szCs w:val="22"/>
        </w:rPr>
        <w:t xml:space="preserve">VALID — Reading passed all quality checks</w:t>
      </w:r>
    </w:p>
    <w:p>
      <w:pPr>
        <w:pStyle w:val="ListParagraph"/>
        <w:numPr>
          <w:ilvl w:val="0"/>
          <w:numId w:val="2"/>
        </w:numPr>
        <w:spacing w:before="40" w:after="40"/>
      </w:pPr>
      <w:r>
        <w:rPr>
          <w:rFonts w:ascii="Arial" w:cs="Arial" w:eastAsia="Arial" w:hAnsi="Arial"/>
          <w:color w:val="000000"/>
          <w:sz w:val="22"/>
          <w:szCs w:val="22"/>
        </w:rPr>
        <w:t xml:space="preserve">INTERPOLATED — Reading was gap-filled by the ingest pipeline</w:t>
      </w:r>
    </w:p>
    <w:p>
      <w:pPr>
        <w:pStyle w:val="ListParagraph"/>
        <w:numPr>
          <w:ilvl w:val="0"/>
          <w:numId w:val="2"/>
        </w:numPr>
        <w:spacing w:before="40" w:after="40"/>
      </w:pPr>
      <w:r>
        <w:rPr>
          <w:rFonts w:ascii="Arial" w:cs="Arial" w:eastAsia="Arial" w:hAnsi="Arial"/>
          <w:color w:val="000000"/>
          <w:sz w:val="22"/>
          <w:szCs w:val="22"/>
        </w:rPr>
        <w:t xml:space="preserve">SUSPECT — Reading is outside the sensor's declared min/max range, or sensor health is DEGRADED</w:t>
      </w:r>
    </w:p>
    <w:p>
      <w:pPr>
        <w:pStyle w:val="ListParagraph"/>
        <w:numPr>
          <w:ilvl w:val="0"/>
          <w:numId w:val="2"/>
        </w:numPr>
        <w:spacing w:before="40" w:after="40"/>
      </w:pPr>
      <w:r>
        <w:rPr>
          <w:rFonts w:ascii="Arial" w:cs="Arial" w:eastAsia="Arial" w:hAnsi="Arial"/>
          <w:color w:val="000000"/>
          <w:sz w:val="22"/>
          <w:szCs w:val="22"/>
        </w:rPr>
        <w:t xml:space="preserve">LATE — Reading arrived after the Flink watermark for its time window</w:t>
      </w:r>
    </w:p>
    <w:p>
      <w:pPr>
        <w:pStyle w:val="ListParagraph"/>
        <w:numPr>
          <w:ilvl w:val="0"/>
          <w:numId w:val="2"/>
        </w:numPr>
        <w:spacing w:before="40" w:after="40"/>
      </w:pPr>
      <w:r>
        <w:rPr>
          <w:rFonts w:ascii="Arial" w:cs="Arial" w:eastAsia="Arial" w:hAnsi="Arial"/>
          <w:color w:val="000000"/>
          <w:sz w:val="22"/>
          <w:szCs w:val="22"/>
        </w:rPr>
        <w:t xml:space="preserve">OUT_OF_RANGE — Reading exceeds physically plausible bounds for this metric type</w:t>
      </w:r>
    </w:p>
    <w:p>
      <w:pPr>
        <w:spacing w:before="120" w:after="0"/>
      </w:pPr>
      <w:r>
        <w:rPr>
          <w:rFonts w:ascii="Arial" w:cs="Arial" w:eastAsia="Arial" w:hAnsi="Arial"/>
          <w:sz w:val="22"/>
          <w:szCs w:val="22"/>
        </w:rPr>
        <w:t xml:space="preserve"> </w:t>
      </w:r>
    </w:p>
    <w:p>
      <w:pPr>
        <w:jc w:val="center"/>
      </w:pPr>
      <w:r>
        <w:rPr>
          <w:rFonts w:ascii="Arial" w:cs="Arial" w:eastAsia="Arial" w:hAnsi="Arial"/>
          <w:i/>
          <w:iCs/>
          <w:color w:val="64748B"/>
          <w:sz w:val="18"/>
          <w:szCs w:val="18"/>
        </w:rPr>
        <w:t xml:space="preserve">End of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4"/>
      </w:pBdr>
      <w:tabs>
        <w:tab w:val="right" w:pos="9026"/>
      </w:tabs>
    </w:pPr>
    <w:r>
      <w:rPr>
        <w:rFonts w:ascii="Arial" w:cs="Arial" w:eastAsia="Arial" w:hAnsi="Arial"/>
        <w:color w:val="64748B"/>
        <w:sz w:val="16"/>
        <w:szCs w:val="16"/>
      </w:rPr>
      <w:t xml:space="preserve">FlowCore Platform Architecture Team  |  April 2026</w:t>
    </w:r>
    <w:r>
      <w:rPr>
        <w:rFonts w:ascii="Arial" w:cs="Arial" w:eastAsia="Arial" w:hAnsi="Arial"/>
        <w:color w:val="64748B"/>
        <w:sz w:val="16"/>
        <w:szCs w:val="16"/>
      </w:rPr>
      <w:t xml:space="preserve">	Page </w:t>
    </w:r>
    <w:r>
      <w:rPr>
        <w:rFonts w:ascii="Arial" w:cs="Arial" w:eastAsia="Arial" w:hAnsi="Arial"/>
        <w:b/>
        <w:bCs/>
        <w:color w:val="0891B2"/>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pBdr>
      <w:tabs>
        <w:tab w:val="right" w:pos="9026"/>
      </w:tabs>
    </w:pPr>
    <w:r>
      <w:rPr>
        <w:rFonts w:ascii="Arial" w:cs="Arial" w:eastAsia="Arial" w:hAnsi="Arial"/>
        <w:color w:val="64748B"/>
        <w:sz w:val="18"/>
        <w:szCs w:val="18"/>
      </w:rPr>
      <w:t xml:space="preserve">FlowCore — Vendor-Agnostic Logical Data Model</w:t>
    </w:r>
    <w:r>
      <w:rPr>
        <w:rFonts w:ascii="Arial" w:cs="Arial" w:eastAsia="Arial" w:hAnsi="Arial"/>
        <w:sz w:val="18"/>
        <w:szCs w:val="18"/>
      </w:rPr>
      <w:t xml:space="preserve">	</w:t>
    </w:r>
    <w:r>
      <w:rPr>
        <w:rFonts w:ascii="Arial" w:cs="Arial" w:eastAsia="Arial" w:hAnsi="Arial"/>
        <w:color w:val="64748B"/>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E3A4C"/>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dzumhyva_l13ryuvyk67" Type="http://schemas.openxmlformats.org/officeDocument/2006/relationships/hyperlink" Target="#" TargetMode="External"/><Relationship Id="rIdq-a4ecsxv1aakd2ye1nyz" Type="http://schemas.openxmlformats.org/officeDocument/2006/relationships/hyperlink" Target="#" TargetMode="External"/><Relationship Id="rIdstqwajf4f0wad6qseyhuw" Type="http://schemas.openxmlformats.org/officeDocument/2006/relationships/hyperlink" Target="#" TargetMode="External"/><Relationship Id="rIdaj9oqf7psbg1dojnua1dd" Type="http://schemas.openxmlformats.org/officeDocument/2006/relationships/hyperlink" Target="#" TargetMode="External"/><Relationship Id="rIdnwqlz3mdz1hjyursn9l2f" Type="http://schemas.openxmlformats.org/officeDocument/2006/relationships/hyperlink" Target="#" TargetMode="External"/><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2026-04-04T10:34:11.605Z</dcterms:created>
  <dcterms:modified xsi:type="dcterms:W3CDTF">2026-04-04T10:34:11.605Z</dcterms:modified>
</cp:coreProperties>
</file>

<file path=docProps/custom.xml><?xml version="1.0" encoding="utf-8"?>
<Properties xmlns="http://schemas.openxmlformats.org/officeDocument/2006/custom-properties" xmlns:vt="http://schemas.openxmlformats.org/officeDocument/2006/docPropsVTypes"/>
</file>