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6E9A28"/>
          <w:sz w:val="17"/>
          <w:szCs w:val="17"/>
        </w:rPr>
        <w:t xml:space="preserve">— </w:t>
      </w:r>
      <w:r>
        <w:rPr>
          <w:rFonts w:ascii="Calibri" w:cs="Calibri" w:eastAsia="Calibri" w:hAnsi="Calibri"/>
          <w:b/>
          <w:bCs/>
          <w:color w:val="52514E"/>
          <w:sz w:val="17"/>
          <w:szCs w:val="17"/>
        </w:rPr>
        <w:t xml:space="preserve">CVR ENGINEERING · CONFIDENTIAL HIRING RECOMMENDATION · JULY 2026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0B0B"/>
          <w:sz w:val="40"/>
          <w:szCs w:val="40"/>
        </w:rPr>
        <w:t xml:space="preserve">John Opsatnic — VP, EPC Project Development</w:t>
      </w:r>
    </w:p>
    <w:p>
      <w:pPr>
        <w:spacing w:after="13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One senior hire to convert a national, executive-level relationship network into EPC awards for the consolidated CVR + HWC offering.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F5FA8"/>
          <w:sz w:val="17"/>
          <w:szCs w:val="17"/>
        </w:rPr>
        <w:t xml:space="preserve">WHY THIS ROLE, NOW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0B0B"/>
          <w:sz w:val="18"/>
          <w:szCs w:val="18"/>
        </w:rPr>
        <w:t xml:space="preserve">The model pays CVR twice.  </w:t>
      </w:r>
      <w:r>
        <w:rPr>
          <w:rFonts w:ascii="Calibri" w:cs="Calibri" w:eastAsia="Calibri" w:hAnsi="Calibri"/>
          <w:color w:val="0B0B0B"/>
          <w:sz w:val="18"/>
          <w:szCs w:val="18"/>
        </w:rPr>
        <w:t xml:space="preserve">Every EPC dollar won returns ~12.5% to CVR — 8% pull-through engineering plus 4.6% captured material margin. At a $150M/yr run-rate that is ~$18.8M of managed revenue and ~$7.6M of operating income.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0B0B"/>
          <w:sz w:val="18"/>
          <w:szCs w:val="18"/>
        </w:rPr>
        <w:t xml:space="preserve">The ladder is relationship-limited, not capability-limited.  </w:t>
      </w:r>
      <w:r>
        <w:rPr>
          <w:rFonts w:ascii="Calibri" w:cs="Calibri" w:eastAsia="Calibri" w:hAnsi="Calibri"/>
          <w:color w:val="0B0B0B"/>
          <w:sz w:val="18"/>
          <w:szCs w:val="18"/>
        </w:rPr>
        <w:t xml:space="preserve">CVR and HWC can engineer, procure, and build the work today. Winning it is the gate — and the accounts below are already warm.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0B0B0B"/>
          <w:sz w:val="18"/>
          <w:szCs w:val="18"/>
        </w:rPr>
        <w:t xml:space="preserve">Project development, not sales.  </w:t>
      </w:r>
      <w:r>
        <w:rPr>
          <w:rFonts w:ascii="Calibri" w:cs="Calibri" w:eastAsia="Calibri" w:hAnsi="Calibri"/>
          <w:color w:val="0B0B0B"/>
          <w:sz w:val="18"/>
          <w:szCs w:val="18"/>
        </w:rPr>
        <w:t xml:space="preserve">The title matches the job: qualifying pursuits, shaping programs with owners, and carrying them to award — accountable for booked EPC wins.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5FA8"/>
          <w:sz w:val="17"/>
          <w:szCs w:val="17"/>
        </w:rPr>
        <w:t xml:space="preserve">THE TARGET ACCOUNTS — WHERE JOHN'S NETWORK LANDS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shd w:fill="F5F5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2514E"/>
                <w:sz w:val="17"/>
                <w:szCs w:val="17"/>
              </w:rPr>
              <w:t xml:space="preserve">Account</w:t>
            </w:r>
          </w:p>
        </w:tc>
        <w:tc>
          <w:tcPr>
            <w:tcW w:type="pct" w:w="27%"/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shd w:fill="F5F5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2514E"/>
                <w:sz w:val="17"/>
                <w:szCs w:val="17"/>
              </w:rPr>
              <w:t xml:space="preserve">Capital program</w:t>
            </w:r>
          </w:p>
        </w:tc>
        <w:tc>
          <w:tcPr>
            <w:tcW w:type="pct" w:w="57%"/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shd w:fill="F5F5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2514E"/>
                <w:sz w:val="17"/>
                <w:szCs w:val="17"/>
              </w:rPr>
              <w:t xml:space="preserve">Relationship &amp; entry</w:t>
            </w:r>
          </w:p>
        </w:tc>
      </w:tr>
      <w:tr>
        <w:tc>
          <w:tcPr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AEP</w:t>
            </w:r>
          </w:p>
        </w:tc>
        <w:tc>
          <w:tcPr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~$78B 5-yr plan (raised May-26)</w:t>
            </w:r>
          </w:p>
        </w:tc>
        <w:tc>
          <w:tcPr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Long-standing relationship — John and Jim — directly with AEP's EPC group.</w:t>
            </w:r>
          </w:p>
        </w:tc>
      </w:tr>
      <w:tr>
        <w:tc>
          <w:tcPr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Duke Energy</w:t>
            </w:r>
          </w:p>
        </w:tc>
        <w:tc>
          <w:tcPr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$103B 5-yr — largest regulated-utility plan in the U.S.</w:t>
            </w:r>
          </w:p>
        </w:tc>
        <w:tc>
          <w:tcPr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Strong relationship with the Director of Transmission Asset Management.</w:t>
            </w:r>
          </w:p>
        </w:tc>
      </w:tr>
      <w:tr>
        <w:tc>
          <w:tcPr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Southern Company</w:t>
            </w:r>
          </w:p>
        </w:tc>
        <w:tc>
          <w:tcPr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$81B 5-yr plan (raised Feb-26)</w:t>
            </w:r>
          </w:p>
        </w:tc>
        <w:tc>
          <w:tcPr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John and Jim both carry long delivery history with Alabama Power and Georgia Power.</w:t>
            </w:r>
          </w:p>
        </w:tc>
      </w:tr>
      <w:tr>
        <w:tc>
          <w:tcPr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PG&amp;E</w:t>
            </w:r>
          </w:p>
        </w:tc>
        <w:tc>
          <w:tcPr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$73B 2026–30 plan</w:t>
            </w:r>
          </w:p>
        </w:tc>
        <w:tc>
          <w:tcPr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VP-level relationships. Pursue pure engineering or EPCM / engineering mix — no self-perform construction exposure.</w:t>
            </w:r>
          </w:p>
        </w:tc>
      </w:tr>
      <w:tr>
        <w:tc>
          <w:tcPr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Xcel Energy</w:t>
            </w:r>
          </w:p>
        </w:tc>
        <w:tc>
          <w:tcPr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$70B+ through 2030 (raised Jul-26)</w:t>
            </w:r>
          </w:p>
        </w:tc>
        <w:tc>
          <w:tcPr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Xcel's VP of Procurement delivered EPC alongside Jim at Arcadis and knows John and Jim well.</w:t>
            </w:r>
          </w:p>
        </w:tc>
      </w:tr>
      <w:tr>
        <w:tc>
          <w:tcPr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Dominion Energy</w:t>
            </w:r>
          </w:p>
        </w:tc>
        <w:tc>
          <w:tcPr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$65B 2026–30 — 45% transmission &amp; distribution</w:t>
            </w:r>
          </w:p>
        </w:tc>
        <w:tc>
          <w:tcPr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Deep working ties across Dominion's transmission PM organization.</w:t>
            </w:r>
          </w:p>
        </w:tc>
      </w:tr>
      <w:tr>
        <w:tc>
          <w:tcPr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NextEra / FPL</w:t>
            </w:r>
          </w:p>
        </w:tc>
        <w:tc>
          <w:tcPr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FPL $12–13B capex in 2026 alone</w:t>
            </w:r>
          </w:p>
        </w:tc>
        <w:tc>
          <w:tcPr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John lives a mile from NextEra HQ — deep, local, executive relationships.</w:t>
            </w:r>
          </w:p>
        </w:tc>
      </w:tr>
      <w:tr>
        <w:tc>
          <w:tcPr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Arizona Public Service</w:t>
            </w:r>
          </w:p>
        </w:tc>
        <w:tc>
          <w:tcPr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$10B+ 2025–28; $6B transmission through 2035</w:t>
            </w:r>
          </w:p>
        </w:tc>
        <w:tc>
          <w:tcPr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Key Director-level relationships.</w:t>
            </w:r>
          </w:p>
        </w:tc>
      </w:tr>
      <w:tr>
        <w:tc>
          <w:tcPr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Santee Cooper</w:t>
            </w:r>
          </w:p>
        </w:tc>
        <w:tc>
          <w:tcPr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52514E"/>
                <w:sz w:val="17"/>
                <w:szCs w:val="17"/>
              </w:rPr>
              <w:t xml:space="preserve">State-owned; major generation + transmission build ahead</w:t>
            </w:r>
          </w:p>
        </w:tc>
        <w:tc>
          <w:tcPr>
            <w:tcBorders>
              <w:top w:val="single" w:color="D9D8D2" w:sz="4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color w:val="0B0B0B"/>
                <w:sz w:val="17"/>
                <w:szCs w:val="17"/>
              </w:rPr>
              <w:t xml:space="preserve">Scott Smith (ex-AEP) is a board advisor — a 30+ year friendship with John.</w:t>
            </w:r>
          </w:p>
        </w:tc>
      </w:tr>
    </w:tbl>
    <w:p>
      <w:pPr>
        <w:spacing w:after="130" w:before="60"/>
      </w:pPr>
      <w:r>
        <w:rPr>
          <w:rFonts w:ascii="Calibri" w:cs="Calibri" w:eastAsia="Calibri" w:hAnsi="Calibri"/>
          <w:color w:val="898781"/>
          <w:sz w:val="16"/>
          <w:szCs w:val="16"/>
        </w:rPr>
        <w:t xml:space="preserve">≈$475B in disclosed capital programs across these nine accounts (FPL counted at 2026 capex only). </w:t>
      </w:r>
      <w:r>
        <w:rPr>
          <w:rFonts w:ascii="Calibri" w:cs="Calibri" w:eastAsia="Calibri" w:hAnsi="Calibri"/>
          <w:i/>
          <w:iCs/>
          <w:color w:val="898781"/>
          <w:sz w:val="16"/>
          <w:szCs w:val="16"/>
        </w:rPr>
        <w:t xml:space="preserve">Sources: latest company capital-plan disclosures, Q4-2025 – Q2-2026 earnings and filings.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5FA8" w:sz="8"/>
              <w:left w:val="single" w:color="1F5FA8" w:sz="8"/>
              <w:bottom w:val="single" w:color="1F5FA8" w:sz="8"/>
              <w:right w:val="single" w:color="1F5FA8" w:sz="8"/>
            </w:tcBorders>
            <w:shd w:fill="EAF1F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5FA8"/>
                <w:sz w:val="20"/>
                <w:szCs w:val="20"/>
              </w:rPr>
              <w:t xml:space="preserve">The ask:  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approve the hire at ~$400K/yr all-in (base + incentive + travel). </w:t>
            </w:r>
            <w:r>
              <w:rPr>
                <w:rFonts w:ascii="Calibri" w:cs="Calibri" w:eastAsia="Calibri" w:hAnsi="Calibri"/>
                <w:color w:val="52514E"/>
                <w:sz w:val="19"/>
                <w:szCs w:val="19"/>
              </w:rPr>
              <w:t xml:space="preserve">One mid-size EPC award (~$3.45M) returns ~$0.43M to CVR — the role pays back in year one. Full economics: CVR_Model_Phase2_Forecast.xlsx, 'EPC At-Scale Model' tab.</w:t>
            </w:r>
          </w:p>
        </w:tc>
      </w:tr>
    </w:tbl>
    <w:p>
      <w:pPr>
        <w:spacing w:after="0" w:before="90"/>
      </w:pPr>
      <w:r>
        <w:rPr>
          <w:rFonts w:ascii="Calibri" w:cs="Calibri" w:eastAsia="Calibri" w:hAnsi="Calibri"/>
          <w:color w:val="898781"/>
          <w:sz w:val="15"/>
          <w:szCs w:val="15"/>
        </w:rPr>
        <w:t xml:space="preserve">Prepared by Jim Codling, SVP Engineering · relationship notes are CVR-internal account intel — not for external distribution.</w:t>
      </w:r>
    </w:p>
    <w:sectPr>
      <w:pgSz w:w="12240" w:h="15840" w:orient="portrait"/>
      <w:pgMar w:top="620" w:right="900" w:bottom="5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2026-07-31T17:11:09.952Z</dcterms:created>
  <dcterms:modified xsi:type="dcterms:W3CDTF">2026-07-31T17:11:09.975Z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