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E9A28"/>
          <w:sz w:val="20"/>
          <w:szCs w:val="20"/>
        </w:rPr>
        <w:t xml:space="preserve">— </w:t>
      </w:r>
      <w:r>
        <w:rPr>
          <w:rFonts w:ascii="Calibri" w:cs="Calibri" w:eastAsia="Calibri" w:hAnsi="Calibri"/>
          <w:b/>
          <w:bCs/>
          <w:color w:val="52514E"/>
          <w:sz w:val="20"/>
          <w:szCs w:val="20"/>
        </w:rPr>
        <w:t xml:space="preserve">CVR ENGINEERING · UTILITY SUPPLY &amp; CONSTRUCTION</w:t>
      </w:r>
    </w:p>
    <w:p>
      <w:pPr>
        <w:spacing w:after="60"/>
      </w:pPr>
      <w:r>
        <w:rPr>
          <w:rFonts w:ascii="Calibri" w:cs="Calibri" w:eastAsia="Calibri" w:hAnsi="Calibri"/>
          <w:b/>
          <w:bCs/>
          <w:color w:val="0B0B0B"/>
          <w:sz w:val="44"/>
          <w:szCs w:val="44"/>
        </w:rPr>
        <w:t xml:space="preserve">Engineer I</w:t>
      </w:r>
    </w:p>
    <w:p>
      <w:pPr>
        <w:spacing w:after="160" w:before="0"/>
      </w:pPr>
      <w:r>
        <w:rPr>
          <w:rFonts w:ascii="Calibri" w:cs="Calibri" w:eastAsia="Calibri" w:hAnsi="Calibri"/>
          <w:color w:val="52514E"/>
          <w:sz w:val="20"/>
          <w:szCs w:val="20"/>
        </w:rPr>
        <w:t xml:space="preserve">Full-time · Reed City / Traverse City, MI (per assignment) · Reports to the SVP of Engineering or designee</w:t>
      </w:r>
    </w:p>
    <w:p>
      <w:pPr>
        <w:spacing w:after="160" w:before="0"/>
      </w:pPr>
      <w:r>
        <w:rPr>
          <w:rFonts w:ascii="Calibri" w:cs="Calibri" w:eastAsia="Calibri" w:hAnsi="Calibri"/>
          <w:color w:val="0B0B0B"/>
          <w:sz w:val="22"/>
          <w:szCs w:val="22"/>
        </w:rPr>
        <w:t xml:space="preserve">Entry-level engineer — learns utility design practice through structured assignments under direct supervision, with a defined path through EIT to licensure.</w:t>
      </w:r>
    </w:p>
    <w:p>
      <w:pPr>
        <w:spacing w:after="110" w:before="260"/>
      </w:pPr>
      <w:r>
        <w:rPr>
          <w:rFonts w:ascii="Calibri" w:cs="Calibri" w:eastAsia="Calibri" w:hAnsi="Calibri"/>
          <w:b/>
          <w:bCs/>
          <w:color w:val="1F5FA8"/>
          <w:sz w:val="26"/>
          <w:szCs w:val="26"/>
        </w:rPr>
        <w:t xml:space="preserve">About CVR Engineering</w:t>
      </w:r>
    </w:p>
    <w:p>
      <w:pPr>
        <w:spacing w:after="120" w:before="0"/>
      </w:pPr>
      <w:r>
        <w:rPr>
          <w:rFonts w:ascii="Calibri" w:cs="Calibri" w:eastAsia="Calibri" w:hAnsi="Calibri"/>
          <w:color w:val="0B0B0B"/>
          <w:sz w:val="22"/>
          <w:szCs w:val="22"/>
        </w:rPr>
        <w:t xml:space="preserve">CVR Engineering is the utility engineering division of Utility Supply and Construction Company (USC) and The Hydaker-Wheatlake Company (HWC) — Builders of Power Lines since 1924. We deliver substation, transmission, and distribution engineering for investor-owned and cooperative utilities across the Midwest, and we pair our engineering with HWC construction and Power Line Supply procurement to deliver complete EPC programs. Our integrated capital-delivery model puts engineering at the center of estimating, procurement, and project delivery.</w:t>
      </w:r>
    </w:p>
    <w:p>
      <w:pPr>
        <w:spacing w:after="110" w:before="260"/>
      </w:pPr>
      <w:r>
        <w:rPr>
          <w:rFonts w:ascii="Calibri" w:cs="Calibri" w:eastAsia="Calibri" w:hAnsi="Calibri"/>
          <w:b/>
          <w:bCs/>
          <w:color w:val="1F5FA8"/>
          <w:sz w:val="26"/>
          <w:szCs w:val="26"/>
        </w:rPr>
        <w:t xml:space="preserve">What you'll do</w:t>
      </w:r>
    </w:p>
    <w:p>
      <w:pPr>
        <w:pStyle w:val="ListParagraph"/>
        <w:numPr>
          <w:ilvl w:val="0"/>
          <w:numId w:val="2"/>
        </w:numPr>
        <w:spacing w:after="70"/>
      </w:pPr>
      <w:r>
        <w:rPr>
          <w:rFonts w:ascii="Calibri" w:cs="Calibri" w:eastAsia="Calibri" w:hAnsi="Calibri"/>
          <w:color w:val="0B0B0B"/>
          <w:sz w:val="22"/>
          <w:szCs w:val="22"/>
        </w:rPr>
        <w:t xml:space="preserve">Perform assigned calculations, drawing mark-ups, data collection, and design support tasks under direct supervision.</w:t>
      </w:r>
    </w:p>
    <w:p>
      <w:pPr>
        <w:pStyle w:val="ListParagraph"/>
        <w:numPr>
          <w:ilvl w:val="0"/>
          <w:numId w:val="2"/>
        </w:numPr>
        <w:spacing w:after="70"/>
      </w:pPr>
      <w:r>
        <w:rPr>
          <w:rFonts w:ascii="Calibri" w:cs="Calibri" w:eastAsia="Calibri" w:hAnsi="Calibri"/>
          <w:color w:val="0B0B0B"/>
          <w:sz w:val="22"/>
          <w:szCs w:val="22"/>
        </w:rPr>
        <w:t xml:space="preserve">Develop working knowledge of NESC, CVR design standards, and discipline design tools.</w:t>
      </w:r>
    </w:p>
    <w:p>
      <w:pPr>
        <w:pStyle w:val="ListParagraph"/>
        <w:numPr>
          <w:ilvl w:val="0"/>
          <w:numId w:val="2"/>
        </w:numPr>
        <w:spacing w:after="70"/>
      </w:pPr>
      <w:r>
        <w:rPr>
          <w:rFonts w:ascii="Calibri" w:cs="Calibri" w:eastAsia="Calibri" w:hAnsi="Calibri"/>
          <w:color w:val="0B0B0B"/>
          <w:sz w:val="22"/>
          <w:szCs w:val="22"/>
        </w:rPr>
        <w:t xml:space="preserve">Support field visits, as-built verification, and record documentation.</w:t>
      </w:r>
    </w:p>
    <w:p>
      <w:pPr>
        <w:pStyle w:val="ListParagraph"/>
        <w:numPr>
          <w:ilvl w:val="0"/>
          <w:numId w:val="2"/>
        </w:numPr>
        <w:spacing w:after="70"/>
      </w:pPr>
      <w:r>
        <w:rPr>
          <w:rFonts w:ascii="Calibri" w:cs="Calibri" w:eastAsia="Calibri" w:hAnsi="Calibri"/>
          <w:color w:val="0B0B0B"/>
          <w:sz w:val="22"/>
          <w:szCs w:val="22"/>
        </w:rPr>
        <w:t xml:space="preserve">Assist with material lists and estimate inputs.</w:t>
      </w:r>
    </w:p>
    <w:p>
      <w:pPr>
        <w:pStyle w:val="ListParagraph"/>
        <w:numPr>
          <w:ilvl w:val="0"/>
          <w:numId w:val="2"/>
        </w:numPr>
        <w:spacing w:after="70"/>
      </w:pPr>
      <w:r>
        <w:rPr>
          <w:rFonts w:ascii="Calibri" w:cs="Calibri" w:eastAsia="Calibri" w:hAnsi="Calibri"/>
          <w:color w:val="0B0B0B"/>
          <w:sz w:val="22"/>
          <w:szCs w:val="22"/>
        </w:rPr>
        <w:t xml:space="preserve">Progress through the CVR engineer development plan toward independent design work.</w:t>
      </w:r>
    </w:p>
    <w:p>
      <w:pPr>
        <w:spacing w:after="110" w:before="260"/>
      </w:pPr>
      <w:r>
        <w:rPr>
          <w:rFonts w:ascii="Calibri" w:cs="Calibri" w:eastAsia="Calibri" w:hAnsi="Calibri"/>
          <w:b/>
          <w:bCs/>
          <w:color w:val="1F5FA8"/>
          <w:sz w:val="26"/>
          <w:szCs w:val="26"/>
        </w:rPr>
        <w:t xml:space="preserve">What you'll bring — required</w:t>
      </w:r>
    </w:p>
    <w:p>
      <w:pPr>
        <w:pStyle w:val="ListParagraph"/>
        <w:numPr>
          <w:ilvl w:val="0"/>
          <w:numId w:val="2"/>
        </w:numPr>
        <w:spacing w:after="70"/>
      </w:pPr>
      <w:r>
        <w:rPr>
          <w:rFonts w:ascii="Calibri" w:cs="Calibri" w:eastAsia="Calibri" w:hAnsi="Calibri"/>
          <w:color w:val="0B0B0B"/>
          <w:sz w:val="22"/>
          <w:szCs w:val="22"/>
        </w:rPr>
        <w:t xml:space="preserve">0–2 years of engineering experience.</w:t>
      </w:r>
    </w:p>
    <w:p>
      <w:pPr>
        <w:pStyle w:val="ListParagraph"/>
        <w:numPr>
          <w:ilvl w:val="0"/>
          <w:numId w:val="2"/>
        </w:numPr>
        <w:spacing w:after="70"/>
      </w:pPr>
      <w:r>
        <w:rPr>
          <w:rFonts w:ascii="Calibri" w:cs="Calibri" w:eastAsia="Calibri" w:hAnsi="Calibri"/>
          <w:color w:val="0B0B0B"/>
          <w:sz w:val="22"/>
          <w:szCs w:val="22"/>
        </w:rPr>
        <w:t xml:space="preserve">Engineer in Training (EIT/FE) certification, or FE examination passed/scheduled within 12 months of hire.</w:t>
      </w:r>
    </w:p>
    <w:p>
      <w:pPr>
        <w:pStyle w:val="ListParagraph"/>
        <w:numPr>
          <w:ilvl w:val="0"/>
          <w:numId w:val="2"/>
        </w:numPr>
        <w:spacing w:after="70"/>
      </w:pPr>
      <w:r>
        <w:rPr>
          <w:rFonts w:ascii="Calibri" w:cs="Calibri" w:eastAsia="Calibri" w:hAnsi="Calibri"/>
          <w:color w:val="0B0B0B"/>
          <w:sz w:val="22"/>
          <w:szCs w:val="22"/>
        </w:rPr>
        <w:t xml:space="preserve">Bachelor of Science in Engineering from an ABET-accredited program.</w:t>
      </w:r>
    </w:p>
    <w:p>
      <w:pPr>
        <w:spacing w:after="110" w:before="260"/>
      </w:pPr>
      <w:r>
        <w:rPr>
          <w:rFonts w:ascii="Calibri" w:cs="Calibri" w:eastAsia="Calibri" w:hAnsi="Calibri"/>
          <w:b/>
          <w:bCs/>
          <w:color w:val="1F5FA8"/>
          <w:sz w:val="26"/>
          <w:szCs w:val="26"/>
        </w:rPr>
        <w:t xml:space="preserve">What you'll bring — preferred</w:t>
      </w:r>
    </w:p>
    <w:p>
      <w:pPr>
        <w:pStyle w:val="ListParagraph"/>
        <w:numPr>
          <w:ilvl w:val="0"/>
          <w:numId w:val="2"/>
        </w:numPr>
        <w:spacing w:after="70"/>
      </w:pPr>
      <w:r>
        <w:rPr>
          <w:rFonts w:ascii="Calibri" w:cs="Calibri" w:eastAsia="Calibri" w:hAnsi="Calibri"/>
          <w:color w:val="0B0B0B"/>
          <w:sz w:val="22"/>
          <w:szCs w:val="22"/>
        </w:rPr>
        <w:t xml:space="preserve">Utility, T&amp;D, or construction internship experience.</w:t>
      </w:r>
    </w:p>
    <w:p>
      <w:pPr>
        <w:pStyle w:val="ListParagraph"/>
        <w:numPr>
          <w:ilvl w:val="0"/>
          <w:numId w:val="2"/>
        </w:numPr>
        <w:spacing w:after="70"/>
      </w:pPr>
      <w:r>
        <w:rPr>
          <w:rFonts w:ascii="Calibri" w:cs="Calibri" w:eastAsia="Calibri" w:hAnsi="Calibri"/>
          <w:color w:val="0B0B0B"/>
          <w:sz w:val="22"/>
          <w:szCs w:val="22"/>
        </w:rPr>
        <w:t xml:space="preserve">Interest in substation, transmission, or distribution specialization.</w:t>
      </w:r>
    </w:p>
    <w:p>
      <w:pPr>
        <w:spacing w:after="110" w:before="260"/>
      </w:pPr>
      <w:r>
        <w:rPr>
          <w:rFonts w:ascii="Calibri" w:cs="Calibri" w:eastAsia="Calibri" w:hAnsi="Calibri"/>
          <w:b/>
          <w:bCs/>
          <w:color w:val="1F5FA8"/>
          <w:sz w:val="26"/>
          <w:szCs w:val="26"/>
        </w:rPr>
        <w:t xml:space="preserve">What we offer</w:t>
      </w:r>
    </w:p>
    <w:p>
      <w:pPr>
        <w:spacing w:after="120" w:before="0"/>
      </w:pPr>
      <w:r>
        <w:rPr>
          <w:rFonts w:ascii="Calibri" w:cs="Calibri" w:eastAsia="Calibri" w:hAnsi="Calibri"/>
          <w:color w:val="0B0B0B"/>
          <w:sz w:val="22"/>
          <w:szCs w:val="22"/>
        </w:rPr>
        <w:t xml:space="preserve">Salary range: [$___,___ – $___,___] depending on experience, plus participation in the company bonus program. Benefits include medical, dental, vision, and prescription coverage; 401(k) and company retirement programs; paid vacation and holidays; company-paid life insurance; voluntary disability and accident coverage; tuition reimbursement; and a mileage reimbursement program.</w:t>
      </w:r>
    </w:p>
    <w:p>
      <w:pPr>
        <w:spacing w:after="110" w:before="260"/>
      </w:pPr>
      <w:r>
        <w:rPr>
          <w:rFonts w:ascii="Calibri" w:cs="Calibri" w:eastAsia="Calibri" w:hAnsi="Calibri"/>
          <w:b/>
          <w:bCs/>
          <w:color w:val="1F5FA8"/>
          <w:sz w:val="26"/>
          <w:szCs w:val="26"/>
        </w:rPr>
        <w:t xml:space="preserve">Equal opportunity</w:t>
      </w:r>
    </w:p>
    <w:p>
      <w:pPr>
        <w:spacing w:after="120" w:before="0"/>
      </w:pPr>
      <w:r>
        <w:rPr>
          <w:rFonts w:ascii="Calibri" w:cs="Calibri" w:eastAsia="Calibri" w:hAnsi="Calibri"/>
          <w:color w:val="0B0B0B"/>
          <w:sz w:val="20"/>
          <w:szCs w:val="20"/>
        </w:rPr>
        <w:t xml:space="preserve">Utility Supply and Construction Company is an equal opportunity employer. All qualified applicants will receive consideration for employment without regard to race, color, religion, sex, sexual orientation, gender identity, national origin, disability, or protected veteran status.</w:t>
      </w:r>
    </w:p>
    <w:p>
      <w:pPr>
        <w:spacing w:after="120" w:before="160"/>
      </w:pPr>
      <w:r>
        <w:rPr>
          <w:rFonts w:ascii="Calibri" w:cs="Calibri" w:eastAsia="Calibri" w:hAnsi="Calibri"/>
          <w:color w:val="898781"/>
          <w:sz w:val="20"/>
          <w:szCs w:val="20"/>
        </w:rPr>
        <w:t xml:space="preserve">To apply, contact [__________] or apply at uscco.com/careers. Reference: CVR Engineering — Engineer I.</w:t>
      </w:r>
    </w:p>
    <w:sectPr>
      <w:pgSz w:w="12240" w:h="15840" w:orient="portrait"/>
      <w:pgMar w:top="1000" w:right="1260" w:bottom="10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2026-08-20T20:48:28.527Z</dcterms:created>
  <dcterms:modified xsi:type="dcterms:W3CDTF">2026-08-20T20:48:28.527Z</dcterms:modified>
</cp:coreProperties>
</file>

<file path=docProps/custom.xml><?xml version="1.0" encoding="utf-8"?>
<Properties xmlns="http://schemas.openxmlformats.org/officeDocument/2006/custom-properties" xmlns:vt="http://schemas.openxmlformats.org/officeDocument/2006/docPropsVTypes"/>
</file>