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E9A28"/>
          <w:sz w:val="20"/>
          <w:szCs w:val="20"/>
        </w:rPr>
        <w:t xml:space="preserve">— </w:t>
      </w:r>
      <w:r>
        <w:rPr>
          <w:rFonts w:ascii="Calibri" w:cs="Calibri" w:eastAsia="Calibri" w:hAnsi="Calibri"/>
          <w:b/>
          <w:bCs/>
          <w:color w:val="52514E"/>
          <w:sz w:val="20"/>
          <w:szCs w:val="20"/>
        </w:rPr>
        <w:t xml:space="preserve">CVR ENGINEERING · UTILITY SUPPLY &amp; CONSTRUCTION</w:t>
      </w:r>
    </w:p>
    <w:p>
      <w:pPr>
        <w:spacing w:after="60"/>
      </w:pPr>
      <w:r>
        <w:rPr>
          <w:rFonts w:ascii="Calibri" w:cs="Calibri" w:eastAsia="Calibri" w:hAnsi="Calibri"/>
          <w:b/>
          <w:bCs/>
          <w:color w:val="0B0B0B"/>
          <w:sz w:val="44"/>
          <w:szCs w:val="44"/>
        </w:rPr>
        <w:t xml:space="preserve">Engineer IV</w:t>
      </w:r>
    </w:p>
    <w:p>
      <w:pPr>
        <w:spacing w:after="160" w:before="0"/>
      </w:pPr>
      <w:r>
        <w:rPr>
          <w:rFonts w:ascii="Calibri" w:cs="Calibri" w:eastAsia="Calibri" w:hAnsi="Calibri"/>
          <w:color w:val="52514E"/>
          <w:sz w:val="20"/>
          <w:szCs w:val="20"/>
        </w:rPr>
        <w:t xml:space="preserve">Full-time · Reed City / Traverse City, MI (per assignment) · Reports to the SVP of Engineering or designee</w:t>
      </w:r>
    </w:p>
    <w:p>
      <w:pPr>
        <w:spacing w:after="160" w:before="0"/>
      </w:pPr>
      <w:r>
        <w:rPr>
          <w:rFonts w:ascii="Calibri" w:cs="Calibri" w:eastAsia="Calibri" w:hAnsi="Calibri"/>
          <w:color w:val="0B0B0B"/>
          <w:sz w:val="22"/>
          <w:szCs w:val="22"/>
        </w:rPr>
        <w:t xml:space="preserve">Fully independent project engineer for complex assignments — executes and checks advanced designs, guides junior engineers, and carries PE-level responsibility on assigned scopes.</w:t>
      </w:r>
    </w:p>
    <w:p>
      <w:pPr>
        <w:spacing w:after="110" w:before="260"/>
      </w:pPr>
      <w:r>
        <w:rPr>
          <w:rFonts w:ascii="Calibri" w:cs="Calibri" w:eastAsia="Calibri" w:hAnsi="Calibri"/>
          <w:b/>
          <w:bCs/>
          <w:color w:val="1F5FA8"/>
          <w:sz w:val="26"/>
          <w:szCs w:val="26"/>
        </w:rPr>
        <w:t xml:space="preserve">About CVR Engineering</w:t>
      </w:r>
    </w:p>
    <w:p>
      <w:pPr>
        <w:spacing w:after="120" w:before="0"/>
      </w:pPr>
      <w:r>
        <w:rPr>
          <w:rFonts w:ascii="Calibri" w:cs="Calibri" w:eastAsia="Calibri" w:hAnsi="Calibri"/>
          <w:color w:val="0B0B0B"/>
          <w:sz w:val="22"/>
          <w:szCs w:val="22"/>
        </w:rPr>
        <w:t xml:space="preserve">CVR Engineering is the utility engineering division of Utility Supply and Construction Company (USC) and The Hydaker-Wheatlake Company (HWC) — Builders of Power Lines since 1924. We deliver substation, transmission, and distribution engineering for investor-owned and cooperative utilities across the Midwest, and we pair our engineering with HWC construction and Power Line Supply procurement to deliver complete EPC programs. Our integrated capital-delivery model puts engineering at the center of estimating, procurement, and project delivery.</w:t>
      </w:r>
    </w:p>
    <w:p>
      <w:pPr>
        <w:spacing w:after="110" w:before="260"/>
      </w:pPr>
      <w:r>
        <w:rPr>
          <w:rFonts w:ascii="Calibri" w:cs="Calibri" w:eastAsia="Calibri" w:hAnsi="Calibri"/>
          <w:b/>
          <w:bCs/>
          <w:color w:val="1F5FA8"/>
          <w:sz w:val="26"/>
          <w:szCs w:val="26"/>
        </w:rPr>
        <w:t xml:space="preserve">What you'll do</w:t>
      </w:r>
    </w:p>
    <w:p>
      <w:pPr>
        <w:pStyle w:val="ListParagraph"/>
        <w:numPr>
          <w:ilvl w:val="0"/>
          <w:numId w:val="2"/>
        </w:numPr>
        <w:spacing w:after="70"/>
      </w:pPr>
      <w:r>
        <w:rPr>
          <w:rFonts w:ascii="Calibri" w:cs="Calibri" w:eastAsia="Calibri" w:hAnsi="Calibri"/>
          <w:color w:val="0B0B0B"/>
          <w:sz w:val="22"/>
          <w:szCs w:val="22"/>
        </w:rPr>
        <w:t xml:space="preserve">Execute complex substation, transmission, or distribution designs with minimal oversight, from concept through IFC.</w:t>
      </w:r>
    </w:p>
    <w:p>
      <w:pPr>
        <w:pStyle w:val="ListParagraph"/>
        <w:numPr>
          <w:ilvl w:val="0"/>
          <w:numId w:val="2"/>
        </w:numPr>
        <w:spacing w:after="70"/>
      </w:pPr>
      <w:r>
        <w:rPr>
          <w:rFonts w:ascii="Calibri" w:cs="Calibri" w:eastAsia="Calibri" w:hAnsi="Calibri"/>
          <w:color w:val="0B0B0B"/>
          <w:sz w:val="22"/>
          <w:szCs w:val="22"/>
        </w:rPr>
        <w:t xml:space="preserve">Check the work of junior engineers and designers; enforce CVR design standards and QA/QC gates.</w:t>
      </w:r>
    </w:p>
    <w:p>
      <w:pPr>
        <w:pStyle w:val="ListParagraph"/>
        <w:numPr>
          <w:ilvl w:val="0"/>
          <w:numId w:val="2"/>
        </w:numPr>
        <w:spacing w:after="70"/>
      </w:pPr>
      <w:r>
        <w:rPr>
          <w:rFonts w:ascii="Calibri" w:cs="Calibri" w:eastAsia="Calibri" w:hAnsi="Calibri"/>
          <w:color w:val="0B0B0B"/>
          <w:sz w:val="22"/>
          <w:szCs w:val="22"/>
        </w:rPr>
        <w:t xml:space="preserve">Develop the engineering basis, quantities, and technical requirements for estimates and material transmittals.</w:t>
      </w:r>
    </w:p>
    <w:p>
      <w:pPr>
        <w:pStyle w:val="ListParagraph"/>
        <w:numPr>
          <w:ilvl w:val="0"/>
          <w:numId w:val="2"/>
        </w:numPr>
        <w:spacing w:after="70"/>
      </w:pPr>
      <w:r>
        <w:rPr>
          <w:rFonts w:ascii="Calibri" w:cs="Calibri" w:eastAsia="Calibri" w:hAnsi="Calibri"/>
          <w:color w:val="0B0B0B"/>
          <w:sz w:val="22"/>
          <w:szCs w:val="22"/>
        </w:rPr>
        <w:t xml:space="preserve">Interface directly with utility client engineering staff on technical issues.</w:t>
      </w:r>
    </w:p>
    <w:p>
      <w:pPr>
        <w:pStyle w:val="ListParagraph"/>
        <w:numPr>
          <w:ilvl w:val="0"/>
          <w:numId w:val="2"/>
        </w:numPr>
        <w:spacing w:after="70"/>
      </w:pPr>
      <w:r>
        <w:rPr>
          <w:rFonts w:ascii="Calibri" w:cs="Calibri" w:eastAsia="Calibri" w:hAnsi="Calibri"/>
          <w:color w:val="0B0B0B"/>
          <w:sz w:val="22"/>
          <w:szCs w:val="22"/>
        </w:rPr>
        <w:t xml:space="preserve">Support construction with RFI responses, design clarifications, and field engineering.</w:t>
      </w:r>
    </w:p>
    <w:p>
      <w:pPr>
        <w:pStyle w:val="ListParagraph"/>
        <w:numPr>
          <w:ilvl w:val="0"/>
          <w:numId w:val="2"/>
        </w:numPr>
        <w:spacing w:after="70"/>
      </w:pPr>
      <w:r>
        <w:rPr>
          <w:rFonts w:ascii="Calibri" w:cs="Calibri" w:eastAsia="Calibri" w:hAnsi="Calibri"/>
          <w:color w:val="0B0B0B"/>
          <w:sz w:val="22"/>
          <w:szCs w:val="22"/>
        </w:rPr>
        <w:t xml:space="preserve">Contribute to standards development and process improvement.</w:t>
      </w:r>
    </w:p>
    <w:p>
      <w:pPr>
        <w:spacing w:after="110" w:before="260"/>
      </w:pPr>
      <w:r>
        <w:rPr>
          <w:rFonts w:ascii="Calibri" w:cs="Calibri" w:eastAsia="Calibri" w:hAnsi="Calibri"/>
          <w:b/>
          <w:bCs/>
          <w:color w:val="1F5FA8"/>
          <w:sz w:val="26"/>
          <w:szCs w:val="26"/>
        </w:rPr>
        <w:t xml:space="preserve">What you'll bring — required</w:t>
      </w:r>
    </w:p>
    <w:p>
      <w:pPr>
        <w:pStyle w:val="ListParagraph"/>
        <w:numPr>
          <w:ilvl w:val="0"/>
          <w:numId w:val="2"/>
        </w:numPr>
        <w:spacing w:after="70"/>
      </w:pPr>
      <w:r>
        <w:rPr>
          <w:rFonts w:ascii="Calibri" w:cs="Calibri" w:eastAsia="Calibri" w:hAnsi="Calibri"/>
          <w:color w:val="0B0B0B"/>
          <w:sz w:val="22"/>
          <w:szCs w:val="22"/>
        </w:rPr>
        <w:t xml:space="preserve">8+ years of utility power engineering experience.</w:t>
      </w:r>
    </w:p>
    <w:p>
      <w:pPr>
        <w:pStyle w:val="ListParagraph"/>
        <w:numPr>
          <w:ilvl w:val="0"/>
          <w:numId w:val="2"/>
        </w:numPr>
        <w:spacing w:after="70"/>
      </w:pPr>
      <w:r>
        <w:rPr>
          <w:rFonts w:ascii="Calibri" w:cs="Calibri" w:eastAsia="Calibri" w:hAnsi="Calibri"/>
          <w:color w:val="0B0B0B"/>
          <w:sz w:val="22"/>
          <w:szCs w:val="22"/>
        </w:rPr>
        <w:t xml:space="preserve">Licensed Professional Engineer (PE), or licensure examination scheduled with licensure expected within 12 months.</w:t>
      </w:r>
    </w:p>
    <w:p>
      <w:pPr>
        <w:pStyle w:val="ListParagraph"/>
        <w:numPr>
          <w:ilvl w:val="0"/>
          <w:numId w:val="2"/>
        </w:numPr>
        <w:spacing w:after="70"/>
      </w:pPr>
      <w:r>
        <w:rPr>
          <w:rFonts w:ascii="Calibri" w:cs="Calibri" w:eastAsia="Calibri" w:hAnsi="Calibri"/>
          <w:color w:val="0B0B0B"/>
          <w:sz w:val="22"/>
          <w:szCs w:val="22"/>
        </w:rPr>
        <w:t xml:space="preserve">Bachelor of Science in Engineering from an ABET-accredited program.</w:t>
      </w:r>
    </w:p>
    <w:p>
      <w:pPr>
        <w:pStyle w:val="ListParagraph"/>
        <w:numPr>
          <w:ilvl w:val="0"/>
          <w:numId w:val="2"/>
        </w:numPr>
        <w:spacing w:after="70"/>
      </w:pPr>
      <w:r>
        <w:rPr>
          <w:rFonts w:ascii="Calibri" w:cs="Calibri" w:eastAsia="Calibri" w:hAnsi="Calibri"/>
          <w:color w:val="0B0B0B"/>
          <w:sz w:val="22"/>
          <w:szCs w:val="22"/>
        </w:rPr>
        <w:t xml:space="preserve">Proficiency in discipline design tools and applicable codes and standards (NESC, IEEE).</w:t>
      </w:r>
    </w:p>
    <w:p>
      <w:pPr>
        <w:spacing w:after="110" w:before="260"/>
      </w:pPr>
      <w:r>
        <w:rPr>
          <w:rFonts w:ascii="Calibri" w:cs="Calibri" w:eastAsia="Calibri" w:hAnsi="Calibri"/>
          <w:b/>
          <w:bCs/>
          <w:color w:val="1F5FA8"/>
          <w:sz w:val="26"/>
          <w:szCs w:val="26"/>
        </w:rPr>
        <w:t xml:space="preserve">What you'll bring — preferred</w:t>
      </w:r>
    </w:p>
    <w:p>
      <w:pPr>
        <w:pStyle w:val="ListParagraph"/>
        <w:numPr>
          <w:ilvl w:val="0"/>
          <w:numId w:val="2"/>
        </w:numPr>
        <w:spacing w:after="70"/>
      </w:pPr>
      <w:r>
        <w:rPr>
          <w:rFonts w:ascii="Calibri" w:cs="Calibri" w:eastAsia="Calibri" w:hAnsi="Calibri"/>
          <w:color w:val="0B0B0B"/>
          <w:sz w:val="22"/>
          <w:szCs w:val="22"/>
        </w:rPr>
        <w:t xml:space="preserve">Experience across more than one discipline (substation physical, P&amp;C, line design, distribution).</w:t>
      </w:r>
    </w:p>
    <w:p>
      <w:pPr>
        <w:pStyle w:val="ListParagraph"/>
        <w:numPr>
          <w:ilvl w:val="0"/>
          <w:numId w:val="2"/>
        </w:numPr>
        <w:spacing w:after="70"/>
      </w:pPr>
      <w:r>
        <w:rPr>
          <w:rFonts w:ascii="Calibri" w:cs="Calibri" w:eastAsia="Calibri" w:hAnsi="Calibri"/>
          <w:color w:val="0B0B0B"/>
          <w:sz w:val="22"/>
          <w:szCs w:val="22"/>
        </w:rPr>
        <w:t xml:space="preserve">Estimating or construction-support experience on EPC work.</w:t>
      </w:r>
    </w:p>
    <w:p>
      <w:pPr>
        <w:spacing w:after="110" w:before="260"/>
      </w:pPr>
      <w:r>
        <w:rPr>
          <w:rFonts w:ascii="Calibri" w:cs="Calibri" w:eastAsia="Calibri" w:hAnsi="Calibri"/>
          <w:b/>
          <w:bCs/>
          <w:color w:val="1F5FA8"/>
          <w:sz w:val="26"/>
          <w:szCs w:val="26"/>
        </w:rPr>
        <w:t xml:space="preserve">What we offer</w:t>
      </w:r>
    </w:p>
    <w:p>
      <w:pPr>
        <w:spacing w:after="120" w:before="0"/>
      </w:pPr>
      <w:r>
        <w:rPr>
          <w:rFonts w:ascii="Calibri" w:cs="Calibri" w:eastAsia="Calibri" w:hAnsi="Calibri"/>
          <w:color w:val="0B0B0B"/>
          <w:sz w:val="22"/>
          <w:szCs w:val="22"/>
        </w:rPr>
        <w:t xml:space="preserve">Salary range: [$___,___ – $___,___] depending on experience, plus participation in the company bonus program. Benefits include medical, dental, vision, and prescription coverage; 401(k) and company retirement programs; paid vacation and holidays; company-paid life insurance; voluntary disability and accident coverage; tuition reimbursement; and a mileage reimbursement program.</w:t>
      </w:r>
    </w:p>
    <w:p>
      <w:pPr>
        <w:spacing w:after="110" w:before="260"/>
      </w:pPr>
      <w:r>
        <w:rPr>
          <w:rFonts w:ascii="Calibri" w:cs="Calibri" w:eastAsia="Calibri" w:hAnsi="Calibri"/>
          <w:b/>
          <w:bCs/>
          <w:color w:val="1F5FA8"/>
          <w:sz w:val="26"/>
          <w:szCs w:val="26"/>
        </w:rPr>
        <w:t xml:space="preserve">Equal opportunity</w:t>
      </w:r>
    </w:p>
    <w:p>
      <w:pPr>
        <w:spacing w:after="120" w:before="0"/>
      </w:pPr>
      <w:r>
        <w:rPr>
          <w:rFonts w:ascii="Calibri" w:cs="Calibri" w:eastAsia="Calibri" w:hAnsi="Calibri"/>
          <w:color w:val="0B0B0B"/>
          <w:sz w:val="20"/>
          <w:szCs w:val="20"/>
        </w:rPr>
        <w:t xml:space="preserve">Utility Supply and Construction Company is an equal opportunity employer. All qualified applicants will receive consideration for employment without regard to race, color, religion, sex, sexual orientation, gender identity, national origin, disability, or protected veteran status.</w:t>
      </w:r>
    </w:p>
    <w:p>
      <w:pPr>
        <w:spacing w:after="120" w:before="160"/>
      </w:pPr>
      <w:r>
        <w:rPr>
          <w:rFonts w:ascii="Calibri" w:cs="Calibri" w:eastAsia="Calibri" w:hAnsi="Calibri"/>
          <w:color w:val="898781"/>
          <w:sz w:val="20"/>
          <w:szCs w:val="20"/>
        </w:rPr>
        <w:t xml:space="preserve">To apply, contact [__________] or apply at uscco.com/careers. Reference: CVR Engineering — Engineer IV.</w:t>
      </w:r>
    </w:p>
    <w:sectPr>
      <w:pgSz w:w="12240" w:h="15840" w:orient="portrait"/>
      <w:pgMar w:top="1000" w:right="1260" w:bottom="10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2026-08-20T20:48:28.422Z</dcterms:created>
  <dcterms:modified xsi:type="dcterms:W3CDTF">2026-08-20T20:48:28.422Z</dcterms:modified>
</cp:coreProperties>
</file>

<file path=docProps/custom.xml><?xml version="1.0" encoding="utf-8"?>
<Properties xmlns="http://schemas.openxmlformats.org/officeDocument/2006/custom-properties" xmlns:vt="http://schemas.openxmlformats.org/officeDocument/2006/docPropsVTypes"/>
</file>