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A28"/>
          <w:sz w:val="20"/>
          <w:szCs w:val="20"/>
        </w:rPr>
        <w:t xml:space="preserve">— </w:t>
      </w:r>
      <w:r>
        <w:rPr>
          <w:rFonts w:ascii="Calibri" w:cs="Calibri" w:eastAsia="Calibri" w:hAnsi="Calibri"/>
          <w:b/>
          <w:bCs/>
          <w:color w:val="52514E"/>
          <w:sz w:val="20"/>
          <w:szCs w:val="20"/>
        </w:rPr>
        <w:t xml:space="preserve">CVR ENGINEERING · UTILITY SUPPLY &amp; CONSTRUCTION</w:t>
      </w:r>
    </w:p>
    <w:p>
      <w:pPr>
        <w:spacing w:after="60"/>
      </w:pPr>
      <w:r>
        <w:rPr>
          <w:rFonts w:ascii="Calibri" w:cs="Calibri" w:eastAsia="Calibri" w:hAnsi="Calibri"/>
          <w:b/>
          <w:bCs/>
          <w:color w:val="0B0B0B"/>
          <w:sz w:val="44"/>
          <w:szCs w:val="44"/>
        </w:rPr>
        <w:t xml:space="preserve">Principal Engineer</w:t>
      </w:r>
    </w:p>
    <w:p>
      <w:pPr>
        <w:spacing w:after="160" w:before="0"/>
      </w:pPr>
      <w:r>
        <w:rPr>
          <w:rFonts w:ascii="Calibri" w:cs="Calibri" w:eastAsia="Calibri" w:hAnsi="Calibri"/>
          <w:color w:val="52514E"/>
          <w:sz w:val="20"/>
          <w:szCs w:val="20"/>
        </w:rPr>
        <w:t xml:space="preserve">Full-time · Reed City / Traverse City, MI (per assignment) · Reports to the SVP of Engineering or designee</w:t>
      </w:r>
    </w:p>
    <w:p>
      <w:pPr>
        <w:spacing w:after="160" w:before="0"/>
      </w:pPr>
      <w:r>
        <w:rPr>
          <w:rFonts w:ascii="Calibri" w:cs="Calibri" w:eastAsia="Calibri" w:hAnsi="Calibri"/>
          <w:color w:val="0B0B0B"/>
          <w:sz w:val="22"/>
          <w:szCs w:val="22"/>
        </w:rPr>
        <w:t xml:space="preserve">Senior-most technical authority for CVR Engineering: Engineer of Record on our most complex substation and transmission programs, owner of design standards and technical governance, and mentor to the engineering staff.</w:t>
      </w:r>
    </w:p>
    <w:p>
      <w:pPr>
        <w:spacing w:after="110" w:before="260"/>
      </w:pPr>
      <w:r>
        <w:rPr>
          <w:rFonts w:ascii="Calibri" w:cs="Calibri" w:eastAsia="Calibri" w:hAnsi="Calibri"/>
          <w:b/>
          <w:bCs/>
          <w:color w:val="1F5FA8"/>
          <w:sz w:val="26"/>
          <w:szCs w:val="26"/>
        </w:rPr>
        <w:t xml:space="preserve">About CVR Engineering</w:t>
      </w:r>
    </w:p>
    <w:p>
      <w:pPr>
        <w:spacing w:after="120" w:before="0"/>
      </w:pPr>
      <w:r>
        <w:rPr>
          <w:rFonts w:ascii="Calibri" w:cs="Calibri" w:eastAsia="Calibri" w:hAnsi="Calibri"/>
          <w:color w:val="0B0B0B"/>
          <w:sz w:val="22"/>
          <w:szCs w:val="22"/>
        </w:rPr>
        <w:t xml:space="preserve">CVR Engineering is the utility engineering division of Utility Supply and Construction Company (USC) and The Hydaker-Wheatlake Company (HWC) — Builders of Power Lines since 1924. We deliver substation, transmission, and distribution engineering for investor-owned and cooperative utilities across the Midwest, and we pair our engineering with HWC construction and Power Line Supply procurement to deliver complete EPC programs. Our integrated capital-delivery model puts engineering at the center of estimating, procurement, and project delivery.</w:t>
      </w:r>
    </w:p>
    <w:p>
      <w:pPr>
        <w:spacing w:after="110" w:before="260"/>
      </w:pPr>
      <w:r>
        <w:rPr>
          <w:rFonts w:ascii="Calibri" w:cs="Calibri" w:eastAsia="Calibri" w:hAnsi="Calibri"/>
          <w:b/>
          <w:bCs/>
          <w:color w:val="1F5FA8"/>
          <w:sz w:val="26"/>
          <w:szCs w:val="26"/>
        </w:rPr>
        <w:t xml:space="preserve">What you'll do</w:t>
      </w:r>
    </w:p>
    <w:p>
      <w:pPr>
        <w:pStyle w:val="ListParagraph"/>
        <w:numPr>
          <w:ilvl w:val="0"/>
          <w:numId w:val="2"/>
        </w:numPr>
        <w:spacing w:after="70"/>
      </w:pPr>
      <w:r>
        <w:rPr>
          <w:rFonts w:ascii="Calibri" w:cs="Calibri" w:eastAsia="Calibri" w:hAnsi="Calibri"/>
          <w:color w:val="0B0B0B"/>
          <w:sz w:val="22"/>
          <w:szCs w:val="22"/>
        </w:rPr>
        <w:t xml:space="preserve">Serve as Engineer of Record: own design integrity, seal deliverables, and lead engineer-verified procurement content on assigned programs.</w:t>
      </w:r>
    </w:p>
    <w:p>
      <w:pPr>
        <w:pStyle w:val="ListParagraph"/>
        <w:numPr>
          <w:ilvl w:val="0"/>
          <w:numId w:val="2"/>
        </w:numPr>
        <w:spacing w:after="70"/>
      </w:pPr>
      <w:r>
        <w:rPr>
          <w:rFonts w:ascii="Calibri" w:cs="Calibri" w:eastAsia="Calibri" w:hAnsi="Calibri"/>
          <w:color w:val="0B0B0B"/>
          <w:sz w:val="22"/>
          <w:szCs w:val="22"/>
        </w:rPr>
        <w:t xml:space="preserve">Set and maintain CVR design criteria, standards, and QA/QC review gates across substation, transmission, and distribution work.</w:t>
      </w:r>
    </w:p>
    <w:p>
      <w:pPr>
        <w:pStyle w:val="ListParagraph"/>
        <w:numPr>
          <w:ilvl w:val="0"/>
          <w:numId w:val="2"/>
        </w:numPr>
        <w:spacing w:after="70"/>
      </w:pPr>
      <w:r>
        <w:rPr>
          <w:rFonts w:ascii="Calibri" w:cs="Calibri" w:eastAsia="Calibri" w:hAnsi="Calibri"/>
          <w:color w:val="0B0B0B"/>
          <w:sz w:val="22"/>
          <w:szCs w:val="22"/>
        </w:rPr>
        <w:t xml:space="preserve">Lead the technical basis for estimates and EPC pursuits with Estimating and HWC Construction — constructability, quantities, and production assumptions.</w:t>
      </w:r>
    </w:p>
    <w:p>
      <w:pPr>
        <w:pStyle w:val="ListParagraph"/>
        <w:numPr>
          <w:ilvl w:val="0"/>
          <w:numId w:val="2"/>
        </w:numPr>
        <w:spacing w:after="70"/>
      </w:pPr>
      <w:r>
        <w:rPr>
          <w:rFonts w:ascii="Calibri" w:cs="Calibri" w:eastAsia="Calibri" w:hAnsi="Calibri"/>
          <w:color w:val="0B0B0B"/>
          <w:sz w:val="22"/>
          <w:szCs w:val="22"/>
        </w:rPr>
        <w:t xml:space="preserve">Perform and direct complex studies and designs (protection &amp; control, substation physical, line design) to 30/60/90/IFC.</w:t>
      </w:r>
    </w:p>
    <w:p>
      <w:pPr>
        <w:pStyle w:val="ListParagraph"/>
        <w:numPr>
          <w:ilvl w:val="0"/>
          <w:numId w:val="2"/>
        </w:numPr>
        <w:spacing w:after="70"/>
      </w:pPr>
      <w:r>
        <w:rPr>
          <w:rFonts w:ascii="Calibri" w:cs="Calibri" w:eastAsia="Calibri" w:hAnsi="Calibri"/>
          <w:color w:val="0B0B0B"/>
          <w:sz w:val="22"/>
          <w:szCs w:val="22"/>
        </w:rPr>
        <w:t xml:space="preserve">Represent CVR technically with utility clients (CenterPoint, DTE, Consumers, MEC and new accounts) at the director/principal level.</w:t>
      </w:r>
    </w:p>
    <w:p>
      <w:pPr>
        <w:pStyle w:val="ListParagraph"/>
        <w:numPr>
          <w:ilvl w:val="0"/>
          <w:numId w:val="2"/>
        </w:numPr>
        <w:spacing w:after="70"/>
      </w:pPr>
      <w:r>
        <w:rPr>
          <w:rFonts w:ascii="Calibri" w:cs="Calibri" w:eastAsia="Calibri" w:hAnsi="Calibri"/>
          <w:color w:val="0B0B0B"/>
          <w:sz w:val="22"/>
          <w:szCs w:val="22"/>
        </w:rPr>
        <w:t xml:space="preserve">Mentor engineers and designers; lead technical development and licensure progression across the team.</w:t>
      </w:r>
    </w:p>
    <w:p>
      <w:pPr>
        <w:spacing w:after="110" w:before="260"/>
      </w:pPr>
      <w:r>
        <w:rPr>
          <w:rFonts w:ascii="Calibri" w:cs="Calibri" w:eastAsia="Calibri" w:hAnsi="Calibri"/>
          <w:b/>
          <w:bCs/>
          <w:color w:val="1F5FA8"/>
          <w:sz w:val="26"/>
          <w:szCs w:val="26"/>
        </w:rPr>
        <w:t xml:space="preserve">What you'll bring — required</w:t>
      </w:r>
    </w:p>
    <w:p>
      <w:pPr>
        <w:pStyle w:val="ListParagraph"/>
        <w:numPr>
          <w:ilvl w:val="0"/>
          <w:numId w:val="2"/>
        </w:numPr>
        <w:spacing w:after="70"/>
      </w:pPr>
      <w:r>
        <w:rPr>
          <w:rFonts w:ascii="Calibri" w:cs="Calibri" w:eastAsia="Calibri" w:hAnsi="Calibri"/>
          <w:color w:val="0B0B0B"/>
          <w:sz w:val="22"/>
          <w:szCs w:val="22"/>
        </w:rPr>
        <w:t xml:space="preserve">15+ years of progressive utility power engineering experience (substation, transmission, and/or distribution).</w:t>
      </w:r>
    </w:p>
    <w:p>
      <w:pPr>
        <w:pStyle w:val="ListParagraph"/>
        <w:numPr>
          <w:ilvl w:val="0"/>
          <w:numId w:val="2"/>
        </w:numPr>
        <w:spacing w:after="70"/>
      </w:pPr>
      <w:r>
        <w:rPr>
          <w:rFonts w:ascii="Calibri" w:cs="Calibri" w:eastAsia="Calibri" w:hAnsi="Calibri"/>
          <w:color w:val="0B0B0B"/>
          <w:sz w:val="22"/>
          <w:szCs w:val="22"/>
        </w:rPr>
        <w:t xml:space="preserve">Licensed Professional Engineer (PE); Michigan licensure or the ability to obtain by comity within 6 months. Multi-state licensure supporting our expansion states is strongly valued.</w:t>
      </w:r>
    </w:p>
    <w:p>
      <w:pPr>
        <w:pStyle w:val="ListParagraph"/>
        <w:numPr>
          <w:ilvl w:val="0"/>
          <w:numId w:val="2"/>
        </w:numPr>
        <w:spacing w:after="70"/>
      </w:pPr>
      <w:r>
        <w:rPr>
          <w:rFonts w:ascii="Calibri" w:cs="Calibri" w:eastAsia="Calibri" w:hAnsi="Calibri"/>
          <w:color w:val="0B0B0B"/>
          <w:sz w:val="22"/>
          <w:szCs w:val="22"/>
        </w:rPr>
        <w:t xml:space="preserve">Bachelor of Science in Electrical or Civil Engineering from an ABET-accredited program.</w:t>
      </w:r>
    </w:p>
    <w:p>
      <w:pPr>
        <w:pStyle w:val="ListParagraph"/>
        <w:numPr>
          <w:ilvl w:val="0"/>
          <w:numId w:val="2"/>
        </w:numPr>
        <w:spacing w:after="70"/>
      </w:pPr>
      <w:r>
        <w:rPr>
          <w:rFonts w:ascii="Calibri" w:cs="Calibri" w:eastAsia="Calibri" w:hAnsi="Calibri"/>
          <w:color w:val="0B0B0B"/>
          <w:sz w:val="22"/>
          <w:szCs w:val="22"/>
        </w:rPr>
        <w:t xml:space="preserve">Demonstrated Engineer-of-Record experience sealing utility designs for investor-owned or cooperative utilities.</w:t>
      </w:r>
    </w:p>
    <w:p>
      <w:pPr>
        <w:pStyle w:val="ListParagraph"/>
        <w:numPr>
          <w:ilvl w:val="0"/>
          <w:numId w:val="2"/>
        </w:numPr>
        <w:spacing w:after="70"/>
      </w:pPr>
      <w:r>
        <w:rPr>
          <w:rFonts w:ascii="Calibri" w:cs="Calibri" w:eastAsia="Calibri" w:hAnsi="Calibri"/>
          <w:color w:val="0B0B0B"/>
          <w:sz w:val="22"/>
          <w:szCs w:val="22"/>
        </w:rPr>
        <w:t xml:space="preserve">Deep working command of NESC, IEEE, and utility design standards, and of design tools appropriate to discipline (CAD, protection, line design).</w:t>
      </w:r>
    </w:p>
    <w:p>
      <w:pPr>
        <w:spacing w:after="110" w:before="260"/>
      </w:pPr>
      <w:r>
        <w:rPr>
          <w:rFonts w:ascii="Calibri" w:cs="Calibri" w:eastAsia="Calibri" w:hAnsi="Calibri"/>
          <w:b/>
          <w:bCs/>
          <w:color w:val="1F5FA8"/>
          <w:sz w:val="26"/>
          <w:szCs w:val="26"/>
        </w:rPr>
        <w:t xml:space="preserve">What you'll bring — preferred</w:t>
      </w:r>
    </w:p>
    <w:p>
      <w:pPr>
        <w:pStyle w:val="ListParagraph"/>
        <w:numPr>
          <w:ilvl w:val="0"/>
          <w:numId w:val="2"/>
        </w:numPr>
        <w:spacing w:after="70"/>
      </w:pPr>
      <w:r>
        <w:rPr>
          <w:rFonts w:ascii="Calibri" w:cs="Calibri" w:eastAsia="Calibri" w:hAnsi="Calibri"/>
          <w:color w:val="0B0B0B"/>
          <w:sz w:val="22"/>
          <w:szCs w:val="22"/>
        </w:rPr>
        <w:t xml:space="preserve">EPC or design-build delivery experience where engineering, procurement, and construction sit under one roof.</w:t>
      </w:r>
    </w:p>
    <w:p>
      <w:pPr>
        <w:pStyle w:val="ListParagraph"/>
        <w:numPr>
          <w:ilvl w:val="0"/>
          <w:numId w:val="2"/>
        </w:numPr>
        <w:spacing w:after="70"/>
      </w:pPr>
      <w:r>
        <w:rPr>
          <w:rFonts w:ascii="Calibri" w:cs="Calibri" w:eastAsia="Calibri" w:hAnsi="Calibri"/>
          <w:color w:val="0B0B0B"/>
          <w:sz w:val="22"/>
          <w:szCs w:val="22"/>
        </w:rPr>
        <w:t xml:space="preserve">Experience standing up or governing design standards, review gates, and engineering quality programs.</w:t>
      </w:r>
    </w:p>
    <w:p>
      <w:pPr>
        <w:pStyle w:val="ListParagraph"/>
        <w:numPr>
          <w:ilvl w:val="0"/>
          <w:numId w:val="2"/>
        </w:numPr>
        <w:spacing w:after="70"/>
      </w:pPr>
      <w:r>
        <w:rPr>
          <w:rFonts w:ascii="Calibri" w:cs="Calibri" w:eastAsia="Calibri" w:hAnsi="Calibri"/>
          <w:color w:val="0B0B0B"/>
          <w:sz w:val="22"/>
          <w:szCs w:val="22"/>
        </w:rPr>
        <w:t xml:space="preserve">Existing relationships within our anchor utility client base.</w:t>
      </w:r>
    </w:p>
    <w:p>
      <w:pPr>
        <w:spacing w:after="110" w:before="260"/>
      </w:pPr>
      <w:r>
        <w:rPr>
          <w:rFonts w:ascii="Calibri" w:cs="Calibri" w:eastAsia="Calibri" w:hAnsi="Calibri"/>
          <w:b/>
          <w:bCs/>
          <w:color w:val="1F5FA8"/>
          <w:sz w:val="26"/>
          <w:szCs w:val="26"/>
        </w:rPr>
        <w:t xml:space="preserve">What we offer</w:t>
      </w:r>
    </w:p>
    <w:p>
      <w:pPr>
        <w:spacing w:after="120" w:before="0"/>
      </w:pPr>
      <w:r>
        <w:rPr>
          <w:rFonts w:ascii="Calibri" w:cs="Calibri" w:eastAsia="Calibri" w:hAnsi="Calibri"/>
          <w:color w:val="0B0B0B"/>
          <w:sz w:val="22"/>
          <w:szCs w:val="22"/>
        </w:rPr>
        <w:t xml:space="preserve">Salary range: [$___,___ – $___,___] depending on experience, plus participation in the company bonus program. Benefits include medical, dental, vision, and prescription coverage; 401(k) and company retirement programs; paid vacation and holidays; company-paid life insurance; voluntary disability and accident coverage; tuition reimbursement; and a mileage reimbursement program.</w:t>
      </w:r>
    </w:p>
    <w:p>
      <w:pPr>
        <w:spacing w:after="110" w:before="260"/>
      </w:pPr>
      <w:r>
        <w:rPr>
          <w:rFonts w:ascii="Calibri" w:cs="Calibri" w:eastAsia="Calibri" w:hAnsi="Calibri"/>
          <w:b/>
          <w:bCs/>
          <w:color w:val="1F5FA8"/>
          <w:sz w:val="26"/>
          <w:szCs w:val="26"/>
        </w:rPr>
        <w:t xml:space="preserve">Equal opportunity</w:t>
      </w:r>
    </w:p>
    <w:p>
      <w:pPr>
        <w:spacing w:after="120" w:before="0"/>
      </w:pPr>
      <w:r>
        <w:rPr>
          <w:rFonts w:ascii="Calibri" w:cs="Calibri" w:eastAsia="Calibri" w:hAnsi="Calibri"/>
          <w:color w:val="0B0B0B"/>
          <w:sz w:val="20"/>
          <w:szCs w:val="20"/>
        </w:rPr>
        <w:t xml:space="preserve">Utility Supply and Construction Company is an equal opportunity employer. All qualified applicants will receive consideration for employment without regard to race, color, religion, sex, sexual orientation, gender identity, national origin, disability, or protected veteran status.</w:t>
      </w:r>
    </w:p>
    <w:p>
      <w:pPr>
        <w:spacing w:after="120" w:before="160"/>
      </w:pPr>
      <w:r>
        <w:rPr>
          <w:rFonts w:ascii="Calibri" w:cs="Calibri" w:eastAsia="Calibri" w:hAnsi="Calibri"/>
          <w:color w:val="898781"/>
          <w:sz w:val="20"/>
          <w:szCs w:val="20"/>
        </w:rPr>
        <w:t xml:space="preserve">To apply, contact [__________] or apply at uscco.com/careers. Reference: CVR Engineering — Principal Engineer.</w:t>
      </w:r>
    </w:p>
    <w:sectPr>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2026-08-20T20:48:28.289Z</dcterms:created>
  <dcterms:modified xsi:type="dcterms:W3CDTF">2026-08-20T20:48:28.307Z</dcterms:modified>
</cp:coreProperties>
</file>

<file path=docProps/custom.xml><?xml version="1.0" encoding="utf-8"?>
<Properties xmlns="http://schemas.openxmlformats.org/officeDocument/2006/custom-properties" xmlns:vt="http://schemas.openxmlformats.org/officeDocument/2006/docPropsVTypes"/>
</file>