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E9A28"/>
          <w:sz w:val="20"/>
          <w:szCs w:val="20"/>
        </w:rPr>
        <w:t xml:space="preserve">— </w:t>
      </w:r>
      <w:r>
        <w:rPr>
          <w:rFonts w:ascii="Calibri" w:cs="Calibri" w:eastAsia="Calibri" w:hAnsi="Calibri"/>
          <w:b/>
          <w:bCs/>
          <w:color w:val="52514E"/>
          <w:sz w:val="20"/>
          <w:szCs w:val="20"/>
        </w:rPr>
        <w:t xml:space="preserve">CVR ENGINEERING · UTILITY SUPPLY &amp; CONSTRUCTION</w:t>
      </w:r>
    </w:p>
    <w:p>
      <w:pPr>
        <w:spacing w:after="60"/>
      </w:pPr>
      <w:r>
        <w:rPr>
          <w:rFonts w:ascii="Calibri" w:cs="Calibri" w:eastAsia="Calibri" w:hAnsi="Calibri"/>
          <w:b/>
          <w:bCs/>
          <w:color w:val="0B0B0B"/>
          <w:sz w:val="44"/>
          <w:szCs w:val="44"/>
        </w:rPr>
        <w:t xml:space="preserve">Senior Engineer</w:t>
      </w:r>
    </w:p>
    <w:p>
      <w:pPr>
        <w:spacing w:after="160" w:before="0"/>
      </w:pPr>
      <w:r>
        <w:rPr>
          <w:rFonts w:ascii="Calibri" w:cs="Calibri" w:eastAsia="Calibri" w:hAnsi="Calibri"/>
          <w:color w:val="52514E"/>
          <w:sz w:val="20"/>
          <w:szCs w:val="20"/>
        </w:rPr>
        <w:t xml:space="preserve">Full-time · Reed City / Traverse City, MI (per assignment) · Reports to the SVP of Engineering or designee</w:t>
      </w:r>
    </w:p>
    <w:p>
      <w:pPr>
        <w:spacing w:after="160" w:before="0"/>
      </w:pPr>
      <w:r>
        <w:rPr>
          <w:rFonts w:ascii="Calibri" w:cs="Calibri" w:eastAsia="Calibri" w:hAnsi="Calibri"/>
          <w:color w:val="0B0B0B"/>
          <w:sz w:val="22"/>
          <w:szCs w:val="22"/>
        </w:rPr>
        <w:t xml:space="preserve">Lead engineer on major projects and programs — independently directs design packages from scoping through IFC, supervises project engineering teams, and is Engineer-of-Record capable.</w:t>
      </w:r>
    </w:p>
    <w:p>
      <w:pPr>
        <w:spacing w:after="110" w:before="260"/>
      </w:pPr>
      <w:r>
        <w:rPr>
          <w:rFonts w:ascii="Calibri" w:cs="Calibri" w:eastAsia="Calibri" w:hAnsi="Calibri"/>
          <w:b/>
          <w:bCs/>
          <w:color w:val="1F5FA8"/>
          <w:sz w:val="26"/>
          <w:szCs w:val="26"/>
        </w:rPr>
        <w:t xml:space="preserve">About CVR Engineering</w:t>
      </w:r>
    </w:p>
    <w:p>
      <w:pPr>
        <w:spacing w:after="120" w:before="0"/>
      </w:pPr>
      <w:r>
        <w:rPr>
          <w:rFonts w:ascii="Calibri" w:cs="Calibri" w:eastAsia="Calibri" w:hAnsi="Calibri"/>
          <w:color w:val="0B0B0B"/>
          <w:sz w:val="22"/>
          <w:szCs w:val="22"/>
        </w:rPr>
        <w:t xml:space="preserve">CVR Engineering is the utility engineering division of Utility Supply and Construction Company (USC) and The Hydaker-Wheatlake Company (HWC) — Builders of Power Lines since 1924. We deliver substation, transmission, and distribution engineering for investor-owned and cooperative utilities across the Midwest, and we pair our engineering with HWC construction and Power Line Supply procurement to deliver complete EPC programs. Our integrated capital-delivery model puts engineering at the center of estimating, procurement, and project delivery.</w:t>
      </w:r>
    </w:p>
    <w:p>
      <w:pPr>
        <w:spacing w:after="110" w:before="260"/>
      </w:pPr>
      <w:r>
        <w:rPr>
          <w:rFonts w:ascii="Calibri" w:cs="Calibri" w:eastAsia="Calibri" w:hAnsi="Calibri"/>
          <w:b/>
          <w:bCs/>
          <w:color w:val="1F5FA8"/>
          <w:sz w:val="26"/>
          <w:szCs w:val="26"/>
        </w:rPr>
        <w:t xml:space="preserve">What you'll do</w:t>
      </w:r>
    </w:p>
    <w:p>
      <w:pPr>
        <w:pStyle w:val="ListParagraph"/>
        <w:numPr>
          <w:ilvl w:val="0"/>
          <w:numId w:val="2"/>
        </w:numPr>
        <w:spacing w:after="70"/>
      </w:pPr>
      <w:r>
        <w:rPr>
          <w:rFonts w:ascii="Calibri" w:cs="Calibri" w:eastAsia="Calibri" w:hAnsi="Calibri"/>
          <w:color w:val="0B0B0B"/>
          <w:sz w:val="22"/>
          <w:szCs w:val="22"/>
        </w:rPr>
        <w:t xml:space="preserve">Lead complete design packages (substation, transmission, or distribution) from scoping and 30% through IFC and record drawings.</w:t>
      </w:r>
    </w:p>
    <w:p>
      <w:pPr>
        <w:pStyle w:val="ListParagraph"/>
        <w:numPr>
          <w:ilvl w:val="0"/>
          <w:numId w:val="2"/>
        </w:numPr>
        <w:spacing w:after="70"/>
      </w:pPr>
      <w:r>
        <w:rPr>
          <w:rFonts w:ascii="Calibri" w:cs="Calibri" w:eastAsia="Calibri" w:hAnsi="Calibri"/>
          <w:color w:val="0B0B0B"/>
          <w:sz w:val="22"/>
          <w:szCs w:val="22"/>
        </w:rPr>
        <w:t xml:space="preserve">Direct the work of engineers and designers on assigned projects; check and back-check design deliverables.</w:t>
      </w:r>
    </w:p>
    <w:p>
      <w:pPr>
        <w:pStyle w:val="ListParagraph"/>
        <w:numPr>
          <w:ilvl w:val="0"/>
          <w:numId w:val="2"/>
        </w:numPr>
        <w:spacing w:after="70"/>
      </w:pPr>
      <w:r>
        <w:rPr>
          <w:rFonts w:ascii="Calibri" w:cs="Calibri" w:eastAsia="Calibri" w:hAnsi="Calibri"/>
          <w:color w:val="0B0B0B"/>
          <w:sz w:val="22"/>
          <w:szCs w:val="22"/>
        </w:rPr>
        <w:t xml:space="preserve">Own the engineering basis for estimates on assigned pursuits; support constructability reviews with HWC.</w:t>
      </w:r>
    </w:p>
    <w:p>
      <w:pPr>
        <w:pStyle w:val="ListParagraph"/>
        <w:numPr>
          <w:ilvl w:val="0"/>
          <w:numId w:val="2"/>
        </w:numPr>
        <w:spacing w:after="70"/>
      </w:pPr>
      <w:r>
        <w:rPr>
          <w:rFonts w:ascii="Calibri" w:cs="Calibri" w:eastAsia="Calibri" w:hAnsi="Calibri"/>
          <w:color w:val="0B0B0B"/>
          <w:sz w:val="22"/>
          <w:szCs w:val="22"/>
        </w:rPr>
        <w:t xml:space="preserve">Prepare engineer-verified material transmittals and support procurement and expediting through Power Line Supply.</w:t>
      </w:r>
    </w:p>
    <w:p>
      <w:pPr>
        <w:pStyle w:val="ListParagraph"/>
        <w:numPr>
          <w:ilvl w:val="0"/>
          <w:numId w:val="2"/>
        </w:numPr>
        <w:spacing w:after="70"/>
      </w:pPr>
      <w:r>
        <w:rPr>
          <w:rFonts w:ascii="Calibri" w:cs="Calibri" w:eastAsia="Calibri" w:hAnsi="Calibri"/>
          <w:color w:val="0B0B0B"/>
          <w:sz w:val="22"/>
          <w:szCs w:val="22"/>
        </w:rPr>
        <w:t xml:space="preserve">Manage client technical relationships at the project level; run design review meetings.</w:t>
      </w:r>
    </w:p>
    <w:p>
      <w:pPr>
        <w:pStyle w:val="ListParagraph"/>
        <w:numPr>
          <w:ilvl w:val="0"/>
          <w:numId w:val="2"/>
        </w:numPr>
        <w:spacing w:after="70"/>
      </w:pPr>
      <w:r>
        <w:rPr>
          <w:rFonts w:ascii="Calibri" w:cs="Calibri" w:eastAsia="Calibri" w:hAnsi="Calibri"/>
          <w:color w:val="0B0B0B"/>
          <w:sz w:val="22"/>
          <w:szCs w:val="22"/>
        </w:rPr>
        <w:t xml:space="preserve">Support construction: RFIs, field changes, outage and energization support, closeout documentation.</w:t>
      </w:r>
    </w:p>
    <w:p>
      <w:pPr>
        <w:spacing w:after="110" w:before="260"/>
      </w:pPr>
      <w:r>
        <w:rPr>
          <w:rFonts w:ascii="Calibri" w:cs="Calibri" w:eastAsia="Calibri" w:hAnsi="Calibri"/>
          <w:b/>
          <w:bCs/>
          <w:color w:val="1F5FA8"/>
          <w:sz w:val="26"/>
          <w:szCs w:val="26"/>
        </w:rPr>
        <w:t xml:space="preserve">What you'll bring — required</w:t>
      </w:r>
    </w:p>
    <w:p>
      <w:pPr>
        <w:pStyle w:val="ListParagraph"/>
        <w:numPr>
          <w:ilvl w:val="0"/>
          <w:numId w:val="2"/>
        </w:numPr>
        <w:spacing w:after="70"/>
      </w:pPr>
      <w:r>
        <w:rPr>
          <w:rFonts w:ascii="Calibri" w:cs="Calibri" w:eastAsia="Calibri" w:hAnsi="Calibri"/>
          <w:color w:val="0B0B0B"/>
          <w:sz w:val="22"/>
          <w:szCs w:val="22"/>
        </w:rPr>
        <w:t xml:space="preserve">10+ years of utility power engineering experience with increasing design leadership.</w:t>
      </w:r>
    </w:p>
    <w:p>
      <w:pPr>
        <w:pStyle w:val="ListParagraph"/>
        <w:numPr>
          <w:ilvl w:val="0"/>
          <w:numId w:val="2"/>
        </w:numPr>
        <w:spacing w:after="70"/>
      </w:pPr>
      <w:r>
        <w:rPr>
          <w:rFonts w:ascii="Calibri" w:cs="Calibri" w:eastAsia="Calibri" w:hAnsi="Calibri"/>
          <w:color w:val="0B0B0B"/>
          <w:sz w:val="22"/>
          <w:szCs w:val="22"/>
        </w:rPr>
        <w:t xml:space="preserve">Licensed Professional Engineer (PE), or the ability to obtain licensure by comity within 6 months.</w:t>
      </w:r>
    </w:p>
    <w:p>
      <w:pPr>
        <w:pStyle w:val="ListParagraph"/>
        <w:numPr>
          <w:ilvl w:val="0"/>
          <w:numId w:val="2"/>
        </w:numPr>
        <w:spacing w:after="70"/>
      </w:pPr>
      <w:r>
        <w:rPr>
          <w:rFonts w:ascii="Calibri" w:cs="Calibri" w:eastAsia="Calibri" w:hAnsi="Calibri"/>
          <w:color w:val="0B0B0B"/>
          <w:sz w:val="22"/>
          <w:szCs w:val="22"/>
        </w:rPr>
        <w:t xml:space="preserve">Bachelor of Science in Engineering from an ABET-accredited program.</w:t>
      </w:r>
    </w:p>
    <w:p>
      <w:pPr>
        <w:pStyle w:val="ListParagraph"/>
        <w:numPr>
          <w:ilvl w:val="0"/>
          <w:numId w:val="2"/>
        </w:numPr>
        <w:spacing w:after="70"/>
      </w:pPr>
      <w:r>
        <w:rPr>
          <w:rFonts w:ascii="Calibri" w:cs="Calibri" w:eastAsia="Calibri" w:hAnsi="Calibri"/>
          <w:color w:val="0B0B0B"/>
          <w:sz w:val="22"/>
          <w:szCs w:val="22"/>
        </w:rPr>
        <w:t xml:space="preserve">Independent command of applicable codes and standards (NESC, IEEE, RUS as applicable) and discipline design tools.</w:t>
      </w:r>
    </w:p>
    <w:p>
      <w:pPr>
        <w:pStyle w:val="ListParagraph"/>
        <w:numPr>
          <w:ilvl w:val="0"/>
          <w:numId w:val="2"/>
        </w:numPr>
        <w:spacing w:after="70"/>
      </w:pPr>
      <w:r>
        <w:rPr>
          <w:rFonts w:ascii="Calibri" w:cs="Calibri" w:eastAsia="Calibri" w:hAnsi="Calibri"/>
          <w:color w:val="0B0B0B"/>
          <w:sz w:val="22"/>
          <w:szCs w:val="22"/>
        </w:rPr>
        <w:t xml:space="preserve">Track record of delivering complete design packages on schedule and budget for utility clients.</w:t>
      </w:r>
    </w:p>
    <w:p>
      <w:pPr>
        <w:spacing w:after="110" w:before="260"/>
      </w:pPr>
      <w:r>
        <w:rPr>
          <w:rFonts w:ascii="Calibri" w:cs="Calibri" w:eastAsia="Calibri" w:hAnsi="Calibri"/>
          <w:b/>
          <w:bCs/>
          <w:color w:val="1F5FA8"/>
          <w:sz w:val="26"/>
          <w:szCs w:val="26"/>
        </w:rPr>
        <w:t xml:space="preserve">What you'll bring — preferred</w:t>
      </w:r>
    </w:p>
    <w:p>
      <w:pPr>
        <w:pStyle w:val="ListParagraph"/>
        <w:numPr>
          <w:ilvl w:val="0"/>
          <w:numId w:val="2"/>
        </w:numPr>
        <w:spacing w:after="70"/>
      </w:pPr>
      <w:r>
        <w:rPr>
          <w:rFonts w:ascii="Calibri" w:cs="Calibri" w:eastAsia="Calibri" w:hAnsi="Calibri"/>
          <w:color w:val="0B0B0B"/>
          <w:sz w:val="22"/>
          <w:szCs w:val="22"/>
        </w:rPr>
        <w:t xml:space="preserve">EPC-paired delivery experience; familiarity with estimating and unit-cost development.</w:t>
      </w:r>
    </w:p>
    <w:p>
      <w:pPr>
        <w:pStyle w:val="ListParagraph"/>
        <w:numPr>
          <w:ilvl w:val="0"/>
          <w:numId w:val="2"/>
        </w:numPr>
        <w:spacing w:after="70"/>
      </w:pPr>
      <w:r>
        <w:rPr>
          <w:rFonts w:ascii="Calibri" w:cs="Calibri" w:eastAsia="Calibri" w:hAnsi="Calibri"/>
          <w:color w:val="0B0B0B"/>
          <w:sz w:val="22"/>
          <w:szCs w:val="22"/>
        </w:rPr>
        <w:t xml:space="preserve">Multi-state PE licensure.</w:t>
      </w:r>
    </w:p>
    <w:p>
      <w:pPr>
        <w:pStyle w:val="ListParagraph"/>
        <w:numPr>
          <w:ilvl w:val="0"/>
          <w:numId w:val="2"/>
        </w:numPr>
        <w:spacing w:after="70"/>
      </w:pPr>
      <w:r>
        <w:rPr>
          <w:rFonts w:ascii="Calibri" w:cs="Calibri" w:eastAsia="Calibri" w:hAnsi="Calibri"/>
          <w:color w:val="0B0B0B"/>
          <w:sz w:val="22"/>
          <w:szCs w:val="22"/>
        </w:rPr>
        <w:t xml:space="preserve">Mentoring or supervisory experience.</w:t>
      </w:r>
    </w:p>
    <w:p>
      <w:pPr>
        <w:spacing w:after="110" w:before="260"/>
      </w:pPr>
      <w:r>
        <w:rPr>
          <w:rFonts w:ascii="Calibri" w:cs="Calibri" w:eastAsia="Calibri" w:hAnsi="Calibri"/>
          <w:b/>
          <w:bCs/>
          <w:color w:val="1F5FA8"/>
          <w:sz w:val="26"/>
          <w:szCs w:val="26"/>
        </w:rPr>
        <w:t xml:space="preserve">What we offer</w:t>
      </w:r>
    </w:p>
    <w:p>
      <w:pPr>
        <w:spacing w:after="120" w:before="0"/>
      </w:pPr>
      <w:r>
        <w:rPr>
          <w:rFonts w:ascii="Calibri" w:cs="Calibri" w:eastAsia="Calibri" w:hAnsi="Calibri"/>
          <w:color w:val="0B0B0B"/>
          <w:sz w:val="22"/>
          <w:szCs w:val="22"/>
        </w:rPr>
        <w:t xml:space="preserve">Salary range: [$___,___ – $___,___] depending on experience, plus participation in the company bonus program. Benefits include medical, dental, vision, and prescription coverage; 401(k) and company retirement programs; paid vacation and holidays; company-paid life insurance; voluntary disability and accident coverage; tuition reimbursement; and a mileage reimbursement program.</w:t>
      </w:r>
    </w:p>
    <w:p>
      <w:pPr>
        <w:spacing w:after="110" w:before="260"/>
      </w:pPr>
      <w:r>
        <w:rPr>
          <w:rFonts w:ascii="Calibri" w:cs="Calibri" w:eastAsia="Calibri" w:hAnsi="Calibri"/>
          <w:b/>
          <w:bCs/>
          <w:color w:val="1F5FA8"/>
          <w:sz w:val="26"/>
          <w:szCs w:val="26"/>
        </w:rPr>
        <w:t xml:space="preserve">Equal opportunity</w:t>
      </w:r>
    </w:p>
    <w:p>
      <w:pPr>
        <w:spacing w:after="120" w:before="0"/>
      </w:pPr>
      <w:r>
        <w:rPr>
          <w:rFonts w:ascii="Calibri" w:cs="Calibri" w:eastAsia="Calibri" w:hAnsi="Calibri"/>
          <w:color w:val="0B0B0B"/>
          <w:sz w:val="20"/>
          <w:szCs w:val="20"/>
        </w:rPr>
        <w:t xml:space="preserve">Utility Supply and Construction Company is an equal opportunity employer. All qualified applicants will receive consideration for employment without regard to race, color, religion, sex, sexual orientation, gender identity, national origin, disability, or protected veteran status.</w:t>
      </w:r>
    </w:p>
    <w:p>
      <w:pPr>
        <w:spacing w:after="120" w:before="160"/>
      </w:pPr>
      <w:r>
        <w:rPr>
          <w:rFonts w:ascii="Calibri" w:cs="Calibri" w:eastAsia="Calibri" w:hAnsi="Calibri"/>
          <w:color w:val="898781"/>
          <w:sz w:val="20"/>
          <w:szCs w:val="20"/>
        </w:rPr>
        <w:t xml:space="preserve">To apply, contact [__________] or apply at uscco.com/careers. Reference: CVR Engineering — Senior Engineer.</w:t>
      </w:r>
    </w:p>
    <w:sectPr>
      <w:pgSz w:w="12240" w:h="15840" w:orient="portrait"/>
      <w:pgMar w:top="1000" w:right="1260" w:bottom="10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2026-08-20T20:48:28.389Z</dcterms:created>
  <dcterms:modified xsi:type="dcterms:W3CDTF">2026-08-20T20:48:28.389Z</dcterms:modified>
</cp:coreProperties>
</file>

<file path=docProps/custom.xml><?xml version="1.0" encoding="utf-8"?>
<Properties xmlns="http://schemas.openxmlformats.org/officeDocument/2006/custom-properties" xmlns:vt="http://schemas.openxmlformats.org/officeDocument/2006/docPropsVTypes"/>
</file>