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6E9A28"/>
          <w:sz w:val="20"/>
          <w:szCs w:val="20"/>
        </w:rPr>
        <w:t xml:space="preserve">— </w:t>
      </w:r>
      <w:r>
        <w:rPr>
          <w:rFonts w:ascii="Calibri" w:cs="Calibri" w:eastAsia="Calibri" w:hAnsi="Calibri"/>
          <w:b/>
          <w:bCs/>
          <w:color w:val="52514E"/>
          <w:sz w:val="20"/>
          <w:szCs w:val="20"/>
        </w:rPr>
        <w:t xml:space="preserve">CVR ENGINEERING · UTILITY SUPPLY &amp; CONSTRUCTION</w:t>
      </w:r>
    </w:p>
    <w:p>
      <w:pPr>
        <w:spacing w:after="60"/>
      </w:pPr>
      <w:r>
        <w:rPr>
          <w:rFonts w:ascii="Calibri" w:cs="Calibri" w:eastAsia="Calibri" w:hAnsi="Calibri"/>
          <w:b/>
          <w:bCs/>
          <w:color w:val="0B0B0B"/>
          <w:sz w:val="44"/>
          <w:szCs w:val="44"/>
        </w:rPr>
        <w:t xml:space="preserve">Transmission Designer</w:t>
      </w:r>
    </w:p>
    <w:p>
      <w:pPr>
        <w:spacing w:after="160" w:before="0"/>
      </w:pPr>
      <w:r>
        <w:rPr>
          <w:rFonts w:ascii="Calibri" w:cs="Calibri" w:eastAsia="Calibri" w:hAnsi="Calibri"/>
          <w:color w:val="52514E"/>
          <w:sz w:val="20"/>
          <w:szCs w:val="20"/>
        </w:rPr>
        <w:t xml:space="preserve">Full-time · Reed City / Traverse City, MI (per assignment) · Reports to the SVP of Engineering or designee</w:t>
      </w:r>
    </w:p>
    <w:p>
      <w:pPr>
        <w:spacing w:after="160" w:before="0"/>
      </w:pPr>
      <w:r>
        <w:rPr>
          <w:rFonts w:ascii="Calibri" w:cs="Calibri" w:eastAsia="Calibri" w:hAnsi="Calibri"/>
          <w:color w:val="0B0B0B"/>
          <w:sz w:val="22"/>
          <w:szCs w:val="22"/>
        </w:rPr>
        <w:t xml:space="preserve">Line design specialist — develops transmission and distribution line designs, structure spotting, and staking packages in PLS-CADD under engineering direction, supporting our growing T-line and pole-program workload.</w:t>
      </w:r>
    </w:p>
    <w:p>
      <w:pPr>
        <w:spacing w:after="110" w:before="260"/>
      </w:pPr>
      <w:r>
        <w:rPr>
          <w:rFonts w:ascii="Calibri" w:cs="Calibri" w:eastAsia="Calibri" w:hAnsi="Calibri"/>
          <w:b/>
          <w:bCs/>
          <w:color w:val="1F5FA8"/>
          <w:sz w:val="26"/>
          <w:szCs w:val="26"/>
        </w:rPr>
        <w:t xml:space="preserve">About CVR Engineering</w:t>
      </w:r>
    </w:p>
    <w:p>
      <w:pPr>
        <w:spacing w:after="120" w:before="0"/>
      </w:pPr>
      <w:r>
        <w:rPr>
          <w:rFonts w:ascii="Calibri" w:cs="Calibri" w:eastAsia="Calibri" w:hAnsi="Calibri"/>
          <w:color w:val="0B0B0B"/>
          <w:sz w:val="22"/>
          <w:szCs w:val="22"/>
        </w:rPr>
        <w:t xml:space="preserve">CVR Engineering is the utility engineering division of Utility Supply and Construction Company (USC) and The Hydaker-Wheatlake Company (HWC) — Builders of Power Lines since 1924. We deliver substation, transmission, and distribution engineering for investor-owned and cooperative utilities across the Midwest, and we pair our engineering with HWC construction and Power Line Supply procurement to deliver complete EPC programs. Our integrated capital-delivery model puts engineering at the center of estimating, procurement, and project delivery.</w:t>
      </w:r>
    </w:p>
    <w:p>
      <w:pPr>
        <w:spacing w:after="110" w:before="260"/>
      </w:pPr>
      <w:r>
        <w:rPr>
          <w:rFonts w:ascii="Calibri" w:cs="Calibri" w:eastAsia="Calibri" w:hAnsi="Calibri"/>
          <w:b/>
          <w:bCs/>
          <w:color w:val="1F5FA8"/>
          <w:sz w:val="26"/>
          <w:szCs w:val="26"/>
        </w:rPr>
        <w:t xml:space="preserve">What you'll do</w:t>
      </w:r>
    </w:p>
    <w:p>
      <w:pPr>
        <w:pStyle w:val="ListParagraph"/>
        <w:numPr>
          <w:ilvl w:val="0"/>
          <w:numId w:val="2"/>
        </w:numPr>
        <w:spacing w:after="70"/>
      </w:pPr>
      <w:r>
        <w:rPr>
          <w:rFonts w:ascii="Calibri" w:cs="Calibri" w:eastAsia="Calibri" w:hAnsi="Calibri"/>
          <w:color w:val="0B0B0B"/>
          <w:sz w:val="22"/>
          <w:szCs w:val="22"/>
        </w:rPr>
        <w:t xml:space="preserve">Develop line designs in PLS-CADD: alignments, structure spotting, sag-tension, and clearance checks under engineering direction.</w:t>
      </w:r>
    </w:p>
    <w:p>
      <w:pPr>
        <w:pStyle w:val="ListParagraph"/>
        <w:numPr>
          <w:ilvl w:val="0"/>
          <w:numId w:val="2"/>
        </w:numPr>
        <w:spacing w:after="70"/>
      </w:pPr>
      <w:r>
        <w:rPr>
          <w:rFonts w:ascii="Calibri" w:cs="Calibri" w:eastAsia="Calibri" w:hAnsi="Calibri"/>
          <w:color w:val="0B0B0B"/>
          <w:sz w:val="22"/>
          <w:szCs w:val="22"/>
        </w:rPr>
        <w:t xml:space="preserve">Produce staking sheets, framing details, and construction packages for pole replacement and conversion programs.</w:t>
      </w:r>
    </w:p>
    <w:p>
      <w:pPr>
        <w:pStyle w:val="ListParagraph"/>
        <w:numPr>
          <w:ilvl w:val="0"/>
          <w:numId w:val="2"/>
        </w:numPr>
        <w:spacing w:after="70"/>
      </w:pPr>
      <w:r>
        <w:rPr>
          <w:rFonts w:ascii="Calibri" w:cs="Calibri" w:eastAsia="Calibri" w:hAnsi="Calibri"/>
          <w:color w:val="0B0B0B"/>
          <w:sz w:val="22"/>
          <w:szCs w:val="22"/>
        </w:rPr>
        <w:t xml:space="preserve">Support field data collection, LiDAR/survey integration, and as-built verification.</w:t>
      </w:r>
    </w:p>
    <w:p>
      <w:pPr>
        <w:pStyle w:val="ListParagraph"/>
        <w:numPr>
          <w:ilvl w:val="0"/>
          <w:numId w:val="2"/>
        </w:numPr>
        <w:spacing w:after="70"/>
      </w:pPr>
      <w:r>
        <w:rPr>
          <w:rFonts w:ascii="Calibri" w:cs="Calibri" w:eastAsia="Calibri" w:hAnsi="Calibri"/>
          <w:color w:val="0B0B0B"/>
          <w:sz w:val="22"/>
          <w:szCs w:val="22"/>
        </w:rPr>
        <w:t xml:space="preserve">Prepare structure lists, material take-offs, and bill-of-material inputs for estimates and procurement.</w:t>
      </w:r>
    </w:p>
    <w:p>
      <w:pPr>
        <w:pStyle w:val="ListParagraph"/>
        <w:numPr>
          <w:ilvl w:val="0"/>
          <w:numId w:val="2"/>
        </w:numPr>
        <w:spacing w:after="70"/>
      </w:pPr>
      <w:r>
        <w:rPr>
          <w:rFonts w:ascii="Calibri" w:cs="Calibri" w:eastAsia="Calibri" w:hAnsi="Calibri"/>
          <w:color w:val="0B0B0B"/>
          <w:sz w:val="22"/>
          <w:szCs w:val="22"/>
        </w:rPr>
        <w:t xml:space="preserve">Coordinate with engineers and HWC construction on constructability and framing standards.</w:t>
      </w:r>
    </w:p>
    <w:p>
      <w:pPr>
        <w:spacing w:after="110" w:before="260"/>
      </w:pPr>
      <w:r>
        <w:rPr>
          <w:rFonts w:ascii="Calibri" w:cs="Calibri" w:eastAsia="Calibri" w:hAnsi="Calibri"/>
          <w:b/>
          <w:bCs/>
          <w:color w:val="1F5FA8"/>
          <w:sz w:val="26"/>
          <w:szCs w:val="26"/>
        </w:rPr>
        <w:t xml:space="preserve">What you'll bring — required</w:t>
      </w:r>
    </w:p>
    <w:p>
      <w:pPr>
        <w:pStyle w:val="ListParagraph"/>
        <w:numPr>
          <w:ilvl w:val="0"/>
          <w:numId w:val="2"/>
        </w:numPr>
        <w:spacing w:after="70"/>
      </w:pPr>
      <w:r>
        <w:rPr>
          <w:rFonts w:ascii="Calibri" w:cs="Calibri" w:eastAsia="Calibri" w:hAnsi="Calibri"/>
          <w:color w:val="0B0B0B"/>
          <w:sz w:val="22"/>
          <w:szCs w:val="22"/>
        </w:rPr>
        <w:t xml:space="preserve">0–3 years of line design or utility design experience (2+ years preferred).</w:t>
      </w:r>
    </w:p>
    <w:p>
      <w:pPr>
        <w:pStyle w:val="ListParagraph"/>
        <w:numPr>
          <w:ilvl w:val="0"/>
          <w:numId w:val="2"/>
        </w:numPr>
        <w:spacing w:after="70"/>
      </w:pPr>
      <w:r>
        <w:rPr>
          <w:rFonts w:ascii="Calibri" w:cs="Calibri" w:eastAsia="Calibri" w:hAnsi="Calibri"/>
          <w:color w:val="0B0B0B"/>
          <w:sz w:val="22"/>
          <w:szCs w:val="22"/>
        </w:rPr>
        <w:t xml:space="preserve">PLS-CADD proficiency, or demonstrated aptitude with training commitment in the first 6 months.</w:t>
      </w:r>
    </w:p>
    <w:p>
      <w:pPr>
        <w:pStyle w:val="ListParagraph"/>
        <w:numPr>
          <w:ilvl w:val="0"/>
          <w:numId w:val="2"/>
        </w:numPr>
        <w:spacing w:after="70"/>
      </w:pPr>
      <w:r>
        <w:rPr>
          <w:rFonts w:ascii="Calibri" w:cs="Calibri" w:eastAsia="Calibri" w:hAnsi="Calibri"/>
          <w:color w:val="0B0B0B"/>
          <w:sz w:val="22"/>
          <w:szCs w:val="22"/>
        </w:rPr>
        <w:t xml:space="preserve">Proficiency in AutoCAD and/or MicroStation.</w:t>
      </w:r>
    </w:p>
    <w:p>
      <w:pPr>
        <w:pStyle w:val="ListParagraph"/>
        <w:numPr>
          <w:ilvl w:val="0"/>
          <w:numId w:val="2"/>
        </w:numPr>
        <w:spacing w:after="70"/>
      </w:pPr>
      <w:r>
        <w:rPr>
          <w:rFonts w:ascii="Calibri" w:cs="Calibri" w:eastAsia="Calibri" w:hAnsi="Calibri"/>
          <w:color w:val="0B0B0B"/>
          <w:sz w:val="22"/>
          <w:szCs w:val="22"/>
        </w:rPr>
        <w:t xml:space="preserve">Associate degree or technical certification in drafting/design technology, or equivalent experience.</w:t>
      </w:r>
    </w:p>
    <w:p>
      <w:pPr>
        <w:spacing w:after="110" w:before="260"/>
      </w:pPr>
      <w:r>
        <w:rPr>
          <w:rFonts w:ascii="Calibri" w:cs="Calibri" w:eastAsia="Calibri" w:hAnsi="Calibri"/>
          <w:b/>
          <w:bCs/>
          <w:color w:val="1F5FA8"/>
          <w:sz w:val="26"/>
          <w:szCs w:val="26"/>
        </w:rPr>
        <w:t xml:space="preserve">What you'll bring — preferred</w:t>
      </w:r>
    </w:p>
    <w:p>
      <w:pPr>
        <w:pStyle w:val="ListParagraph"/>
        <w:numPr>
          <w:ilvl w:val="0"/>
          <w:numId w:val="2"/>
        </w:numPr>
        <w:spacing w:after="70"/>
      </w:pPr>
      <w:r>
        <w:rPr>
          <w:rFonts w:ascii="Calibri" w:cs="Calibri" w:eastAsia="Calibri" w:hAnsi="Calibri"/>
          <w:color w:val="0B0B0B"/>
          <w:sz w:val="22"/>
          <w:szCs w:val="22"/>
        </w:rPr>
        <w:t xml:space="preserve">Distribution pole-line design, joint-use, or make-ready experience.</w:t>
      </w:r>
    </w:p>
    <w:p>
      <w:pPr>
        <w:pStyle w:val="ListParagraph"/>
        <w:numPr>
          <w:ilvl w:val="0"/>
          <w:numId w:val="2"/>
        </w:numPr>
        <w:spacing w:after="70"/>
      </w:pPr>
      <w:r>
        <w:rPr>
          <w:rFonts w:ascii="Calibri" w:cs="Calibri" w:eastAsia="Calibri" w:hAnsi="Calibri"/>
          <w:color w:val="0B0B0B"/>
          <w:sz w:val="22"/>
          <w:szCs w:val="22"/>
        </w:rPr>
        <w:t xml:space="preserve">Familiarity with NESC clearances and loading districts.</w:t>
      </w:r>
    </w:p>
    <w:p>
      <w:pPr>
        <w:pStyle w:val="ListParagraph"/>
        <w:numPr>
          <w:ilvl w:val="0"/>
          <w:numId w:val="2"/>
        </w:numPr>
        <w:spacing w:after="70"/>
      </w:pPr>
      <w:r>
        <w:rPr>
          <w:rFonts w:ascii="Calibri" w:cs="Calibri" w:eastAsia="Calibri" w:hAnsi="Calibri"/>
          <w:color w:val="0B0B0B"/>
          <w:sz w:val="22"/>
          <w:szCs w:val="22"/>
        </w:rPr>
        <w:t xml:space="preserve">GIS experience.</w:t>
      </w:r>
    </w:p>
    <w:p>
      <w:pPr>
        <w:spacing w:after="110" w:before="260"/>
      </w:pPr>
      <w:r>
        <w:rPr>
          <w:rFonts w:ascii="Calibri" w:cs="Calibri" w:eastAsia="Calibri" w:hAnsi="Calibri"/>
          <w:b/>
          <w:bCs/>
          <w:color w:val="1F5FA8"/>
          <w:sz w:val="26"/>
          <w:szCs w:val="26"/>
        </w:rPr>
        <w:t xml:space="preserve">What we offer</w:t>
      </w:r>
    </w:p>
    <w:p>
      <w:pPr>
        <w:spacing w:after="120" w:before="0"/>
      </w:pPr>
      <w:r>
        <w:rPr>
          <w:rFonts w:ascii="Calibri" w:cs="Calibri" w:eastAsia="Calibri" w:hAnsi="Calibri"/>
          <w:color w:val="0B0B0B"/>
          <w:sz w:val="22"/>
          <w:szCs w:val="22"/>
        </w:rPr>
        <w:t xml:space="preserve">Salary range: [$___,___ – $___,___] depending on experience, plus participation in the company bonus program. Benefits include medical, dental, vision, and prescription coverage; 401(k) and company retirement programs; paid vacation and holidays; company-paid life insurance; voluntary disability and accident coverage; tuition reimbursement; and a mileage reimbursement program.</w:t>
      </w:r>
    </w:p>
    <w:p>
      <w:pPr>
        <w:spacing w:after="110" w:before="260"/>
      </w:pPr>
      <w:r>
        <w:rPr>
          <w:rFonts w:ascii="Calibri" w:cs="Calibri" w:eastAsia="Calibri" w:hAnsi="Calibri"/>
          <w:b/>
          <w:bCs/>
          <w:color w:val="1F5FA8"/>
          <w:sz w:val="26"/>
          <w:szCs w:val="26"/>
        </w:rPr>
        <w:t xml:space="preserve">Equal opportunity</w:t>
      </w:r>
    </w:p>
    <w:p>
      <w:pPr>
        <w:spacing w:after="120" w:before="0"/>
      </w:pPr>
      <w:r>
        <w:rPr>
          <w:rFonts w:ascii="Calibri" w:cs="Calibri" w:eastAsia="Calibri" w:hAnsi="Calibri"/>
          <w:color w:val="0B0B0B"/>
          <w:sz w:val="20"/>
          <w:szCs w:val="20"/>
        </w:rPr>
        <w:t xml:space="preserve">Utility Supply and Construction Company is an equal opportunity employer. All qualified applicants will receive consideration for employment without regard to race, color, religion, sex, sexual orientation, gender identity, national origin, disability, or protected veteran status.</w:t>
      </w:r>
    </w:p>
    <w:p>
      <w:pPr>
        <w:spacing w:after="120" w:before="160"/>
      </w:pPr>
      <w:r>
        <w:rPr>
          <w:rFonts w:ascii="Calibri" w:cs="Calibri" w:eastAsia="Calibri" w:hAnsi="Calibri"/>
          <w:color w:val="898781"/>
          <w:sz w:val="20"/>
          <w:szCs w:val="20"/>
        </w:rPr>
        <w:t xml:space="preserve">To apply, contact [__________] or apply at uscco.com/careers. Reference: CVR Engineering — Transmission Designer.</w:t>
      </w:r>
    </w:p>
    <w:sectPr>
      <w:pgSz w:w="12240" w:h="15840" w:orient="portrait"/>
      <w:pgMar w:top="1000" w:right="1260" w:bottom="10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2026-08-20T20:48:28.573Z</dcterms:created>
  <dcterms:modified xsi:type="dcterms:W3CDTF">2026-08-20T20:48:28.573Z</dcterms:modified>
</cp:coreProperties>
</file>

<file path=docProps/custom.xml><?xml version="1.0" encoding="utf-8"?>
<Properties xmlns="http://schemas.openxmlformats.org/officeDocument/2006/custom-properties" xmlns:vt="http://schemas.openxmlformats.org/officeDocument/2006/docPropsVTypes"/>
</file>