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0B5D8F"/>
          <w:sz w:val="38"/>
        </w:rPr>
        <w:t>Corpus Christi Area Power Infrastructure</w:t>
      </w:r>
    </w:p>
    <w:p>
      <w:pPr>
        <w:spacing w:after="40"/>
      </w:pPr>
      <w:r>
        <w:rPr>
          <w:color w:val="5A6573"/>
          <w:sz w:val="20"/>
        </w:rPr>
        <w:t>Shore Power (Cold Ironing) — Overview in support of our Feasibility Study proposal</w:t>
      </w:r>
    </w:p>
    <w:p>
      <w:pPr>
        <w:spacing w:after="120"/>
        <w:pBdr>
          <w:bottom w:val="single" w:sz="12" w:space="4" w:color="0B5D8F"/>
        </w:pBdr>
      </w:pPr>
      <w:r>
        <w:rPr>
          <w:color w:val="5A6573"/>
          <w:sz w:val="17"/>
        </w:rPr>
        <w:t>Prepared: June 2026   |   Region: ERCOT South / Coastal Zone   |   TDSP/TSP: AEP Texas</w:t>
      </w:r>
    </w:p>
    <w:p>
      <w:pPr>
        <w:spacing w:before="80" w:after="120"/>
        <w:shd w:val="clear" w:fill="F1F5F9"/>
        <w:pBdr>
          <w:left w:val="single" w:sz="18" w:space="8" w:color="0B5D8F"/>
        </w:pBdr>
      </w:pPr>
      <w:r>
        <w:rPr>
          <w:b/>
          <w:i w:val="0"/>
          <w:color w:val="1A2230"/>
          <w:sz w:val="19"/>
        </w:rPr>
        <w:t xml:space="preserve">Purpose of this document. </w:t>
      </w:r>
      <w:r>
        <w:rPr>
          <w:b w:val="0"/>
          <w:i w:val="0"/>
          <w:color w:val="1A2230"/>
          <w:sz w:val="19"/>
        </w:rPr>
        <w:t xml:space="preserve">We are responding to the RFP by proposing to perform the </w:t>
      </w:r>
      <w:r>
        <w:rPr>
          <w:b/>
          <w:i w:val="0"/>
          <w:color w:val="1A2230"/>
          <w:sz w:val="19"/>
        </w:rPr>
        <w:t>shore-power feasibility study</w:t>
      </w:r>
      <w:r>
        <w:rPr>
          <w:b w:val="0"/>
          <w:i w:val="0"/>
          <w:color w:val="1A2230"/>
          <w:sz w:val="19"/>
        </w:rPr>
        <w:t xml:space="preserve">. The material below frames our understanding of the problem and the scope our study will rigorously evaluate — it is </w:t>
      </w:r>
      <w:r>
        <w:rPr>
          <w:b w:val="0"/>
          <w:i/>
          <w:color w:val="1A2230"/>
          <w:sz w:val="19"/>
        </w:rPr>
        <w:t>not</w:t>
      </w:r>
      <w:r>
        <w:rPr>
          <w:b w:val="0"/>
          <w:i w:val="0"/>
          <w:color w:val="1A2230"/>
          <w:sz w:val="19"/>
        </w:rPr>
        <w:t xml:space="preserve"> a final engineering design. Figures are planning-level and represent the questions the feasibility study will resolve, not committed values.</w:t>
      </w:r>
    </w:p>
    <w:p>
      <w:r>
        <w:rPr>
          <w:b w:val="0"/>
          <w:i w:val="0"/>
          <w:color w:val="1A2230"/>
          <w:sz w:val="20"/>
        </w:rPr>
        <w:t xml:space="preserve">This overview summarizes the electrical supply environment serving the Port of Corpus Christi and frames the phased shore-power buildout our feasibility study will assess — from a </w:t>
      </w:r>
      <w:r>
        <w:rPr>
          <w:b/>
          <w:i w:val="0"/>
          <w:color w:val="1A2230"/>
          <w:sz w:val="20"/>
        </w:rPr>
        <w:t>2-berth pilot</w:t>
      </w:r>
      <w:r>
        <w:rPr>
          <w:b w:val="0"/>
          <w:i w:val="0"/>
          <w:color w:val="1A2230"/>
          <w:sz w:val="20"/>
        </w:rPr>
        <w:t xml:space="preserve"> to a full </w:t>
      </w:r>
      <w:r>
        <w:rPr>
          <w:b/>
          <w:i w:val="0"/>
          <w:color w:val="1A2230"/>
          <w:sz w:val="20"/>
        </w:rPr>
        <w:t>20-berth</w:t>
      </w:r>
      <w:r>
        <w:rPr>
          <w:b w:val="0"/>
          <w:i w:val="0"/>
          <w:color w:val="1A2230"/>
          <w:sz w:val="20"/>
        </w:rPr>
        <w:t xml:space="preserve"> deployment — covering the regional grid, the ERCOT interconnection pathway for loads of this magnitude, and the resiliency strategy for a hurricane-exposed coastal industrial port.</w:t>
      </w:r>
    </w:p>
    <w:tbl>
      <w:tblPr>
        <w:tblW w:type="auto" w:w="0"/>
        <w:jc w:val="center"/>
        <w:tblLook w:firstColumn="1" w:firstRow="1" w:lastColumn="0" w:lastRow="0" w:noHBand="0" w:noVBand="1" w:val="04A0"/>
      </w:tblPr>
      <w:tblGrid>
        <w:gridCol w:w="2556"/>
        <w:gridCol w:w="2556"/>
        <w:gridCol w:w="2556"/>
        <w:gridCol w:w="2556"/>
      </w:tblGrid>
      <w:tr>
        <w:tc>
          <w:tcPr>
            <w:tcW w:type="dxa" w:w="2556"/>
            <w:shd w:val="clear" w:fill="EAF1F6"/>
          </w:tcPr>
          <w:p>
            <w:pPr>
              <w:spacing w:after="0"/>
            </w:pPr>
            <w:r/>
            <w:r>
              <w:rPr>
                <w:b/>
                <w:color w:val="0B5D8F"/>
                <w:sz w:val="28"/>
              </w:rPr>
              <w:t>~5 MW</w:t>
            </w:r>
          </w:p>
          <w:p>
            <w:pPr>
              <w:spacing w:before="0"/>
            </w:pPr>
            <w:r>
              <w:rPr>
                <w:color w:val="5A6573"/>
                <w:sz w:val="16"/>
              </w:rPr>
              <w:t>Typical load / berth</w:t>
            </w:r>
          </w:p>
        </w:tc>
        <w:tc>
          <w:tcPr>
            <w:tcW w:type="dxa" w:w="2556"/>
            <w:shd w:val="clear" w:fill="EAF1F6"/>
          </w:tcPr>
          <w:p>
            <w:pPr>
              <w:spacing w:after="0"/>
            </w:pPr>
            <w:r/>
            <w:r>
              <w:rPr>
                <w:b/>
                <w:color w:val="0B5D8F"/>
                <w:sz w:val="28"/>
              </w:rPr>
              <w:t>~10 MW</w:t>
            </w:r>
          </w:p>
          <w:p>
            <w:pPr>
              <w:spacing w:before="0"/>
            </w:pPr>
            <w:r>
              <w:rPr>
                <w:color w:val="5A6573"/>
                <w:sz w:val="16"/>
              </w:rPr>
              <w:t>Phase 1 (2 berths)</w:t>
            </w:r>
          </w:p>
        </w:tc>
        <w:tc>
          <w:tcPr>
            <w:tcW w:type="dxa" w:w="2556"/>
            <w:shd w:val="clear" w:fill="EAF1F6"/>
          </w:tcPr>
          <w:p>
            <w:pPr>
              <w:spacing w:after="0"/>
            </w:pPr>
            <w:r/>
            <w:r>
              <w:rPr>
                <w:b/>
                <w:color w:val="0B5D8F"/>
                <w:sz w:val="28"/>
              </w:rPr>
              <w:t>~100 MW</w:t>
            </w:r>
          </w:p>
          <w:p>
            <w:pPr>
              <w:spacing w:before="0"/>
            </w:pPr>
            <w:r>
              <w:rPr>
                <w:color w:val="5A6573"/>
                <w:sz w:val="16"/>
              </w:rPr>
              <w:t>Full build (20 berths)</w:t>
            </w:r>
          </w:p>
        </w:tc>
        <w:tc>
          <w:tcPr>
            <w:tcW w:type="dxa" w:w="2556"/>
            <w:shd w:val="clear" w:fill="EAF1F6"/>
          </w:tcPr>
          <w:p>
            <w:pPr>
              <w:spacing w:after="0"/>
            </w:pPr>
            <w:r/>
            <w:r>
              <w:rPr>
                <w:b/>
                <w:color w:val="0B5D8F"/>
                <w:sz w:val="28"/>
              </w:rPr>
              <w:t>75 MW</w:t>
            </w:r>
          </w:p>
          <w:p>
            <w:pPr>
              <w:spacing w:before="0"/>
            </w:pPr>
            <w:r>
              <w:rPr>
                <w:color w:val="5A6573"/>
                <w:sz w:val="16"/>
              </w:rPr>
              <w:t>ERCOT Large-Load threshold</w:t>
            </w:r>
          </w:p>
        </w:tc>
      </w:tr>
    </w:tbl>
    <w:p>
      <w:pPr>
        <w:spacing w:after="40"/>
      </w:pPr>
    </w:p>
    <w:p>
      <w:pPr>
        <w:spacing w:before="200" w:after="60"/>
        <w:pBdr>
          <w:bottom w:val="single" w:sz="8" w:space="2" w:color="0B5D8F"/>
        </w:pBdr>
      </w:pPr>
      <w:r>
        <w:rPr>
          <w:b/>
          <w:caps/>
          <w:color w:val="0B5D8F"/>
          <w:sz w:val="22"/>
        </w:rPr>
        <w:t>1. Regional Grid Context</w:t>
      </w:r>
    </w:p>
    <w:p>
      <w:r>
        <w:rPr>
          <w:b w:val="0"/>
          <w:i w:val="0"/>
          <w:color w:val="1A2230"/>
          <w:sz w:val="20"/>
        </w:rPr>
        <w:t xml:space="preserve">The Port of Corpus Christi is the largest U.S. energy-export gateway and sits within the </w:t>
      </w:r>
      <w:r>
        <w:rPr>
          <w:b/>
          <w:i w:val="0"/>
          <w:color w:val="1A2230"/>
          <w:sz w:val="20"/>
        </w:rPr>
        <w:t>ERCOT South (Coastal) load zone</w:t>
      </w:r>
      <w:r>
        <w:rPr>
          <w:b w:val="0"/>
          <w:i w:val="0"/>
          <w:color w:val="1A2230"/>
          <w:sz w:val="20"/>
        </w:rPr>
        <w:t xml:space="preserve">. Transmission and distribution service in Nueces and San Patricio counties is provided primarily by </w:t>
      </w:r>
      <w:r>
        <w:rPr>
          <w:b/>
          <w:i w:val="0"/>
          <w:color w:val="1A2230"/>
          <w:sz w:val="20"/>
        </w:rPr>
        <w:t>AEP Texas</w:t>
      </w:r>
      <w:r>
        <w:rPr>
          <w:b w:val="0"/>
          <w:i w:val="0"/>
          <w:color w:val="1A2230"/>
          <w:sz w:val="20"/>
        </w:rPr>
        <w:t xml:space="preserve">, with portions of the high-voltage backbone owned by </w:t>
      </w:r>
      <w:r>
        <w:rPr>
          <w:b/>
          <w:i w:val="0"/>
          <w:color w:val="1A2230"/>
          <w:sz w:val="20"/>
        </w:rPr>
        <w:t>Electric Transmission Texas (ETT)</w:t>
      </w:r>
      <w:r>
        <w:rPr>
          <w:b w:val="0"/>
          <w:i w:val="0"/>
          <w:color w:val="1A2230"/>
          <w:sz w:val="20"/>
        </w:rPr>
        <w:t xml:space="preserve">. The local network is anchored by a robust </w:t>
      </w:r>
      <w:r>
        <w:rPr>
          <w:b/>
          <w:i w:val="0"/>
          <w:color w:val="1A2230"/>
          <w:sz w:val="20"/>
        </w:rPr>
        <w:t>138 kV</w:t>
      </w:r>
      <w:r>
        <w:rPr>
          <w:b w:val="0"/>
          <w:i w:val="0"/>
          <w:color w:val="1A2230"/>
          <w:sz w:val="20"/>
        </w:rPr>
        <w:t xml:space="preserve"> ring around the inner harbor and a </w:t>
      </w:r>
      <w:r>
        <w:rPr>
          <w:b/>
          <w:i w:val="0"/>
          <w:color w:val="1A2230"/>
          <w:sz w:val="20"/>
        </w:rPr>
        <w:t>345 kV</w:t>
      </w:r>
      <w:r>
        <w:rPr>
          <w:b w:val="0"/>
          <w:i w:val="0"/>
          <w:color w:val="1A2230"/>
          <w:sz w:val="20"/>
        </w:rPr>
        <w:t xml:space="preserve"> backbone tying the area into the broader ERCOT grid. Substantial dispatchable generation sits inside the load pocket, favorable for both voltage support and resource adequacy:</w:t>
      </w:r>
    </w:p>
    <w:p>
      <w:pPr>
        <w:pStyle w:val="ListBullet"/>
        <w:spacing w:after="40" w:line="259" w:lineRule="auto"/>
      </w:pPr>
      <w:r>
        <w:rPr>
          <w:b/>
          <w:i w:val="0"/>
          <w:color w:val="1A2230"/>
          <w:sz w:val="19"/>
        </w:rPr>
        <w:t>Barney M. Davis</w:t>
      </w:r>
      <w:r>
        <w:rPr>
          <w:b w:val="0"/>
          <w:i w:val="0"/>
          <w:color w:val="1A2230"/>
          <w:sz w:val="19"/>
        </w:rPr>
        <w:t xml:space="preserve"> — ~897 MW gas (units 1974 / 2010)</w:t>
      </w:r>
    </w:p>
    <w:p>
      <w:pPr>
        <w:pStyle w:val="ListBullet"/>
        <w:spacing w:after="40" w:line="259" w:lineRule="auto"/>
      </w:pPr>
      <w:r>
        <w:rPr>
          <w:b/>
          <w:i w:val="0"/>
          <w:color w:val="1A2230"/>
          <w:sz w:val="19"/>
        </w:rPr>
        <w:t>Nueces Bay</w:t>
      </w:r>
      <w:r>
        <w:rPr>
          <w:b w:val="0"/>
          <w:i w:val="0"/>
          <w:color w:val="1A2230"/>
          <w:sz w:val="19"/>
        </w:rPr>
        <w:t xml:space="preserve"> — ~635 MW gas, combined-cycle (2010)</w:t>
      </w:r>
    </w:p>
    <w:p>
      <w:pPr>
        <w:pStyle w:val="ListBullet"/>
        <w:spacing w:after="40" w:line="259" w:lineRule="auto"/>
      </w:pPr>
      <w:r>
        <w:rPr>
          <w:b/>
          <w:i w:val="0"/>
          <w:color w:val="1A2230"/>
          <w:sz w:val="19"/>
        </w:rPr>
        <w:t>Lon C. Hill</w:t>
      </w:r>
      <w:r>
        <w:rPr>
          <w:b w:val="0"/>
          <w:i w:val="0"/>
          <w:color w:val="1A2230"/>
          <w:sz w:val="19"/>
        </w:rPr>
        <w:t xml:space="preserve"> — legacy gas peaking capacity</w:t>
      </w:r>
    </w:p>
    <w:p>
      <w:r>
        <w:rPr>
          <w:b w:val="0"/>
          <w:i w:val="0"/>
          <w:color w:val="1A2230"/>
          <w:sz w:val="20"/>
        </w:rPr>
        <w:t xml:space="preserve">This ~1.5 GW of in-zone generation (now CPS Energy-owned, acquired from Talen in 2024) means the shore-power load can be served from a generation-rich pocket rather than a constrained import path. Key substations relevant to a port-side interconnection include </w:t>
      </w:r>
      <w:r>
        <w:rPr>
          <w:b/>
          <w:i w:val="0"/>
          <w:color w:val="1A2230"/>
          <w:sz w:val="20"/>
        </w:rPr>
        <w:t>Holly Road, McKenzie Road, Lon Hill, Nueces Bay, Barney Davis, Naval Base, and Warburton</w:t>
      </w:r>
      <w:r>
        <w:rPr>
          <w:b w:val="0"/>
          <w:i w:val="0"/>
          <w:color w:val="1A2230"/>
          <w:sz w:val="20"/>
        </w:rPr>
        <w:t xml:space="preserve"> — several within a few miles of the port's principal docks.</w:t>
      </w:r>
    </w:p>
    <w:p>
      <w:pPr>
        <w:spacing w:before="80" w:after="120"/>
        <w:shd w:val="clear" w:fill="F1F5F9"/>
        <w:pBdr>
          <w:left w:val="single" w:sz="18" w:space="8" w:color="0B5D8F"/>
        </w:pBdr>
      </w:pPr>
      <w:r>
        <w:rPr>
          <w:b/>
          <w:i w:val="0"/>
          <w:color w:val="1A2230"/>
          <w:sz w:val="19"/>
        </w:rPr>
        <w:t xml:space="preserve">What our study will test: </w:t>
      </w:r>
      <w:r>
        <w:rPr>
          <w:b w:val="0"/>
          <w:i w:val="0"/>
          <w:color w:val="1A2230"/>
          <w:sz w:val="19"/>
        </w:rPr>
        <w:t xml:space="preserve">our working hypothesis is that a 2-berth pilot (~10 MW) can be served at distribution voltage (12.47/25 kV) from an existing AEP Texas circuit, while the full 20-berth program (~80–120 MW) warrants a </w:t>
      </w:r>
      <w:r>
        <w:rPr>
          <w:b w:val="0"/>
          <w:i/>
          <w:color w:val="1A2230"/>
          <w:sz w:val="19"/>
        </w:rPr>
        <w:t>dedicated port substation</w:t>
      </w:r>
      <w:r>
        <w:rPr>
          <w:b w:val="0"/>
          <w:i w:val="0"/>
          <w:color w:val="1A2230"/>
          <w:sz w:val="19"/>
        </w:rPr>
        <w:t xml:space="preserve"> fed at 138 kV. The feasibility study will validate both the near-term distribution tap and the long-term transmission-class delivery point, with order-of-magnitude cost and schedule for each.</w:t>
      </w:r>
    </w:p>
    <w:p>
      <w:pPr>
        <w:spacing w:before="200" w:after="60"/>
        <w:pBdr>
          <w:bottom w:val="single" w:sz="8" w:space="2" w:color="0B5D8F"/>
        </w:pBdr>
      </w:pPr>
      <w:r>
        <w:rPr>
          <w:b/>
          <w:caps/>
          <w:color w:val="0B5D8F"/>
          <w:sz w:val="22"/>
        </w:rPr>
        <w:t>2. Channel Reaches, Berths &amp; Power Assets</w:t>
      </w:r>
    </w:p>
    <w:p>
      <w:r>
        <w:rPr>
          <w:b w:val="0"/>
          <w:i w:val="0"/>
          <w:color w:val="1A2230"/>
          <w:sz w:val="20"/>
        </w:rPr>
        <w:t xml:space="preserve">The Corpus Christi Ship Channel runs ~29 miles from the Gulf entrance to the Viola Turning Basin, with the La Quinta Channel (~6 miles) branching north (~35 nautical miles of federal channel total). The USACE/Port </w:t>
      </w:r>
      <w:r>
        <w:rPr>
          <w:b/>
          <w:i w:val="0"/>
          <w:color w:val="1A2230"/>
          <w:sz w:val="20"/>
        </w:rPr>
        <w:t>Channel Improvement Project (CIP)</w:t>
      </w:r>
      <w:r>
        <w:rPr>
          <w:b w:val="0"/>
          <w:i w:val="0"/>
          <w:color w:val="1A2230"/>
          <w:sz w:val="20"/>
        </w:rPr>
        <w:t xml:space="preserve"> is deepening it from </w:t>
      </w:r>
      <w:r>
        <w:rPr>
          <w:b/>
          <w:i w:val="0"/>
          <w:color w:val="1A2230"/>
          <w:sz w:val="20"/>
        </w:rPr>
        <w:t>47 to 54 ft MLLW</w:t>
      </w:r>
      <w:r>
        <w:rPr>
          <w:b w:val="0"/>
          <w:i w:val="0"/>
          <w:color w:val="1A2230"/>
          <w:sz w:val="20"/>
        </w:rPr>
        <w:t xml:space="preserve"> and widening it to </w:t>
      </w:r>
      <w:r>
        <w:rPr>
          <w:b/>
          <w:i w:val="0"/>
          <w:color w:val="1A2230"/>
          <w:sz w:val="20"/>
        </w:rPr>
        <w:t>530 ft</w:t>
      </w:r>
      <w:r>
        <w:rPr>
          <w:b w:val="0"/>
          <w:i w:val="0"/>
          <w:color w:val="1A2230"/>
          <w:sz w:val="20"/>
        </w:rPr>
        <w:t xml:space="preserve"> with barge shelves across the Upper Bay. Deeper water draws larger, fully-laden vessels with higher hotelling demand — strengthening the case for shore power. Berths concentrate in the </w:t>
      </w:r>
      <w:r>
        <w:rPr>
          <w:b/>
          <w:i w:val="0"/>
          <w:color w:val="1A2230"/>
          <w:sz w:val="20"/>
        </w:rPr>
        <w:t>Inner Harbor</w:t>
      </w:r>
      <w:r>
        <w:rPr>
          <w:b w:val="0"/>
          <w:i w:val="0"/>
          <w:color w:val="1A2230"/>
          <w:sz w:val="20"/>
        </w:rPr>
        <w:t xml:space="preserve">, with additional energy terminals along </w:t>
      </w:r>
      <w:r>
        <w:rPr>
          <w:b/>
          <w:i w:val="0"/>
          <w:color w:val="1A2230"/>
          <w:sz w:val="20"/>
        </w:rPr>
        <w:t>La Quinta/Ingleside</w:t>
      </w:r>
      <w:r>
        <w:rPr>
          <w:b w:val="0"/>
          <w:i w:val="0"/>
          <w:color w:val="1A2230"/>
          <w:sz w:val="20"/>
        </w:rPr>
        <w:t>.</w:t>
      </w:r>
    </w:p>
    <w:p>
      <w:pPr>
        <w:spacing w:after="40"/>
        <w:jc w:val="center"/>
      </w:pPr>
      <w:r>
        <w:drawing>
          <wp:inline xmlns:a="http://schemas.openxmlformats.org/drawingml/2006/main" xmlns:pic="http://schemas.openxmlformats.org/drawingml/2006/picture">
            <wp:extent cx="6400800" cy="2963570"/>
            <wp:docPr id="1" name="Picture 1"/>
            <wp:cNvGraphicFramePr>
              <a:graphicFrameLocks noChangeAspect="1"/>
            </wp:cNvGraphicFramePr>
            <a:graphic>
              <a:graphicData uri="http://schemas.openxmlformats.org/drawingml/2006/picture">
                <pic:pic>
                  <pic:nvPicPr>
                    <pic:cNvPr id="0" name="map_for_docx.png"/>
                    <pic:cNvPicPr/>
                  </pic:nvPicPr>
                  <pic:blipFill>
                    <a:blip r:embed="rId9"/>
                    <a:stretch>
                      <a:fillRect/>
                    </a:stretch>
                  </pic:blipFill>
                  <pic:spPr>
                    <a:xfrm>
                      <a:off x="0" y="0"/>
                      <a:ext cx="6400800" cy="2963570"/>
                    </a:xfrm>
                    <a:prstGeom prst="rect"/>
                  </pic:spPr>
                </pic:pic>
              </a:graphicData>
            </a:graphic>
          </wp:inline>
        </w:drawing>
      </w:r>
    </w:p>
    <w:p>
      <w:pPr>
        <w:spacing w:after="80"/>
      </w:pPr>
      <w:r>
        <w:rPr>
          <w:i/>
          <w:color w:val="5A6573"/>
          <w:sz w:val="16"/>
        </w:rPr>
        <w:t>Figure 1 — Schematic (not to scale), oriented to the USACE Corpus Christi Ship Channel Improvement Project (Aug 2019). Reaches Gulf-to-inland: Entrance/Jetty (3.9 mi), Lower Bay (8.6 mi), Upper Bay (9.6 mi), Inner Harbor (7.3 mi), with the La Quinta Channel (5.9 mi) branching north. Power assets and berth locations are approximate; a surveyed GIS alignment is to be developed during the feasibility study.</w:t>
      </w:r>
    </w:p>
    <w:p>
      <w:r>
        <w:br w:type="page"/>
      </w:r>
    </w:p>
    <w:p>
      <w:pPr>
        <w:spacing w:before="200" w:after="60"/>
        <w:pBdr>
          <w:bottom w:val="single" w:sz="8" w:space="2" w:color="0B5D8F"/>
        </w:pBdr>
      </w:pPr>
      <w:r>
        <w:rPr>
          <w:b/>
          <w:caps/>
          <w:color w:val="0B5D8F"/>
          <w:sz w:val="22"/>
        </w:rPr>
        <w:t>3. Phased Buildout — 2 Berths to 20 Berths</w:t>
      </w:r>
    </w:p>
    <w:p>
      <w:r>
        <w:rPr>
          <w:b w:val="0"/>
          <w:i w:val="0"/>
          <w:color w:val="1A2230"/>
          <w:sz w:val="20"/>
        </w:rPr>
        <w:t xml:space="preserve">Shore power (cold ironing / high-voltage shore connection, HVSC) supplies vessels at berth at </w:t>
      </w:r>
      <w:r>
        <w:rPr>
          <w:b/>
          <w:i w:val="0"/>
          <w:color w:val="1A2230"/>
          <w:sz w:val="20"/>
        </w:rPr>
        <w:t>6.6 kV or 11 kV</w:t>
      </w:r>
      <w:r>
        <w:rPr>
          <w:b w:val="0"/>
          <w:i w:val="0"/>
          <w:color w:val="1A2230"/>
          <w:sz w:val="20"/>
        </w:rPr>
        <w:t xml:space="preserve"> per IEC/IEEE 80005-1, allowing main and auxiliary engines to shut down. Per-berth demand depends on vessel class; for the Corpus mix (tankers, bulk, dry cargo, occasional container) a planning figure of </w:t>
      </w:r>
      <w:r>
        <w:rPr>
          <w:b/>
          <w:i w:val="0"/>
          <w:color w:val="1A2230"/>
          <w:sz w:val="20"/>
        </w:rPr>
        <w:t>~5 MW/berth</w:t>
      </w:r>
      <w:r>
        <w:rPr>
          <w:b w:val="0"/>
          <w:i w:val="0"/>
          <w:color w:val="1A2230"/>
          <w:sz w:val="20"/>
        </w:rPr>
        <w:t xml:space="preserve"> is reasonable, with diversity reducing the coincident peak below the simple sum.</w:t>
      </w:r>
    </w:p>
    <w:tbl>
      <w:tblPr>
        <w:tblStyle w:val="LightGrid-Accent1"/>
        <w:tblW w:type="auto" w:w="0"/>
        <w:tblLook w:firstColumn="1" w:firstRow="1" w:lastColumn="0" w:lastRow="0" w:noHBand="0" w:noVBand="1" w:val="04A0"/>
      </w:tblPr>
      <w:tblGrid>
        <w:gridCol w:w="2045"/>
        <w:gridCol w:w="2045"/>
        <w:gridCol w:w="2045"/>
        <w:gridCol w:w="2045"/>
        <w:gridCol w:w="2045"/>
      </w:tblGrid>
      <w:tr>
        <w:tc>
          <w:tcPr>
            <w:tcW w:type="dxa" w:w="1800"/>
            <w:shd w:val="clear" w:fill="0B5D8F"/>
          </w:tcPr>
          <w:p>
            <w:pPr>
              <w:spacing w:after="20"/>
            </w:pPr>
            <w:r>
              <w:rPr>
                <w:b/>
                <w:color w:val="FFFFFF"/>
                <w:sz w:val="17"/>
              </w:rPr>
              <w:t>Phase</w:t>
            </w:r>
          </w:p>
        </w:tc>
        <w:tc>
          <w:tcPr>
            <w:tcW w:type="dxa" w:w="1152"/>
            <w:shd w:val="clear" w:fill="0B5D8F"/>
          </w:tcPr>
          <w:p>
            <w:pPr>
              <w:spacing w:after="20"/>
            </w:pPr>
            <w:r>
              <w:rPr>
                <w:b/>
                <w:color w:val="FFFFFF"/>
                <w:sz w:val="17"/>
              </w:rPr>
              <w:t>Horizon</w:t>
            </w:r>
          </w:p>
        </w:tc>
        <w:tc>
          <w:tcPr>
            <w:tcW w:type="dxa" w:w="936"/>
            <w:shd w:val="clear" w:fill="0B5D8F"/>
          </w:tcPr>
          <w:p>
            <w:pPr>
              <w:spacing w:after="20"/>
            </w:pPr>
            <w:r>
              <w:rPr>
                <w:b/>
                <w:color w:val="FFFFFF"/>
                <w:sz w:val="17"/>
              </w:rPr>
              <w:t>Berths</w:t>
            </w:r>
          </w:p>
        </w:tc>
        <w:tc>
          <w:tcPr>
            <w:tcW w:type="dxa" w:w="2304"/>
            <w:shd w:val="clear" w:fill="0B5D8F"/>
          </w:tcPr>
          <w:p>
            <w:pPr>
              <w:spacing w:after="20"/>
            </w:pPr>
            <w:r>
              <w:rPr>
                <w:b/>
                <w:color w:val="FFFFFF"/>
                <w:sz w:val="17"/>
              </w:rPr>
              <w:t>Approx. connected load</w:t>
            </w:r>
          </w:p>
        </w:tc>
        <w:tc>
          <w:tcPr>
            <w:tcW w:type="dxa" w:w="3888"/>
            <w:shd w:val="clear" w:fill="0B5D8F"/>
          </w:tcPr>
          <w:p>
            <w:pPr>
              <w:spacing w:after="20"/>
            </w:pPr>
            <w:r>
              <w:rPr>
                <w:b/>
                <w:color w:val="FFFFFF"/>
                <w:sz w:val="17"/>
              </w:rPr>
              <w:t>Delivery / interconnection</w:t>
            </w:r>
          </w:p>
        </w:tc>
      </w:tr>
      <w:tr>
        <w:tc>
          <w:tcPr>
            <w:tcW w:type="dxa" w:w="1800"/>
          </w:tcPr>
          <w:p>
            <w:pPr>
              <w:spacing w:after="20"/>
            </w:pPr>
            <w:r>
              <w:rPr>
                <w:b/>
                <w:sz w:val="17"/>
              </w:rPr>
              <w:t>Phase 1 — Pilot</w:t>
            </w:r>
          </w:p>
        </w:tc>
        <w:tc>
          <w:tcPr>
            <w:tcW w:type="dxa" w:w="1152"/>
          </w:tcPr>
          <w:p>
            <w:pPr>
              <w:spacing w:after="20"/>
            </w:pPr>
            <w:r>
              <w:rPr>
                <w:sz w:val="17"/>
              </w:rPr>
              <w:t>Yr 1–2</w:t>
            </w:r>
          </w:p>
        </w:tc>
        <w:tc>
          <w:tcPr>
            <w:tcW w:type="dxa" w:w="936"/>
          </w:tcPr>
          <w:p>
            <w:pPr>
              <w:spacing w:after="20"/>
            </w:pPr>
            <w:r>
              <w:rPr>
                <w:sz w:val="17"/>
              </w:rPr>
              <w:t>2</w:t>
            </w:r>
          </w:p>
        </w:tc>
        <w:tc>
          <w:tcPr>
            <w:tcW w:type="dxa" w:w="2304"/>
          </w:tcPr>
          <w:p>
            <w:pPr>
              <w:spacing w:after="20"/>
            </w:pPr>
            <w:r>
              <w:rPr>
                <w:sz w:val="17"/>
              </w:rPr>
              <w:t>~8–12 MW</w:t>
            </w:r>
          </w:p>
        </w:tc>
        <w:tc>
          <w:tcPr>
            <w:tcW w:type="dxa" w:w="3888"/>
          </w:tcPr>
          <w:p>
            <w:pPr>
              <w:spacing w:after="20"/>
            </w:pPr>
            <w:r>
              <w:rPr>
                <w:sz w:val="17"/>
              </w:rPr>
              <w:t>Distribution tap off existing AEP Texas circuit</w:t>
            </w:r>
          </w:p>
        </w:tc>
      </w:tr>
      <w:tr>
        <w:tc>
          <w:tcPr>
            <w:tcW w:type="dxa" w:w="1800"/>
          </w:tcPr>
          <w:p>
            <w:pPr>
              <w:spacing w:after="20"/>
            </w:pPr>
            <w:r>
              <w:rPr>
                <w:b/>
                <w:sz w:val="17"/>
              </w:rPr>
              <w:t>Phase 2 — Expand</w:t>
            </w:r>
          </w:p>
        </w:tc>
        <w:tc>
          <w:tcPr>
            <w:tcW w:type="dxa" w:w="1152"/>
          </w:tcPr>
          <w:p>
            <w:pPr>
              <w:spacing w:after="20"/>
            </w:pPr>
            <w:r>
              <w:rPr>
                <w:sz w:val="17"/>
              </w:rPr>
              <w:t>Yr 2–4</w:t>
            </w:r>
          </w:p>
        </w:tc>
        <w:tc>
          <w:tcPr>
            <w:tcW w:type="dxa" w:w="936"/>
          </w:tcPr>
          <w:p>
            <w:pPr>
              <w:spacing w:after="20"/>
            </w:pPr>
            <w:r>
              <w:rPr>
                <w:sz w:val="17"/>
              </w:rPr>
              <w:t>6</w:t>
            </w:r>
          </w:p>
        </w:tc>
        <w:tc>
          <w:tcPr>
            <w:tcW w:type="dxa" w:w="2304"/>
          </w:tcPr>
          <w:p>
            <w:pPr>
              <w:spacing w:after="20"/>
            </w:pPr>
            <w:r>
              <w:rPr>
                <w:sz w:val="17"/>
              </w:rPr>
              <w:t>~25–30 MW</w:t>
            </w:r>
          </w:p>
        </w:tc>
        <w:tc>
          <w:tcPr>
            <w:tcW w:type="dxa" w:w="3888"/>
          </w:tcPr>
          <w:p>
            <w:pPr>
              <w:spacing w:after="20"/>
            </w:pPr>
            <w:r>
              <w:rPr>
                <w:sz w:val="17"/>
              </w:rPr>
              <w:t>New distribution substation / express feeders (crosses 25 MW)</w:t>
            </w:r>
          </w:p>
        </w:tc>
      </w:tr>
      <w:tr>
        <w:tc>
          <w:tcPr>
            <w:tcW w:type="dxa" w:w="1800"/>
          </w:tcPr>
          <w:p>
            <w:pPr>
              <w:spacing w:after="20"/>
            </w:pPr>
            <w:r>
              <w:rPr>
                <w:b/>
                <w:sz w:val="17"/>
              </w:rPr>
              <w:t>Phase 3 — Scale</w:t>
            </w:r>
          </w:p>
        </w:tc>
        <w:tc>
          <w:tcPr>
            <w:tcW w:type="dxa" w:w="1152"/>
          </w:tcPr>
          <w:p>
            <w:pPr>
              <w:spacing w:after="20"/>
            </w:pPr>
            <w:r>
              <w:rPr>
                <w:sz w:val="17"/>
              </w:rPr>
              <w:t>Yr 4–7</w:t>
            </w:r>
          </w:p>
        </w:tc>
        <w:tc>
          <w:tcPr>
            <w:tcW w:type="dxa" w:w="936"/>
          </w:tcPr>
          <w:p>
            <w:pPr>
              <w:spacing w:after="20"/>
            </w:pPr>
            <w:r>
              <w:rPr>
                <w:sz w:val="17"/>
              </w:rPr>
              <w:t>12</w:t>
            </w:r>
          </w:p>
        </w:tc>
        <w:tc>
          <w:tcPr>
            <w:tcW w:type="dxa" w:w="2304"/>
          </w:tcPr>
          <w:p>
            <w:pPr>
              <w:spacing w:after="20"/>
            </w:pPr>
            <w:r>
              <w:rPr>
                <w:sz w:val="17"/>
              </w:rPr>
              <w:t>~55–70 MW</w:t>
            </w:r>
          </w:p>
        </w:tc>
        <w:tc>
          <w:tcPr>
            <w:tcW w:type="dxa" w:w="3888"/>
          </w:tcPr>
          <w:p>
            <w:pPr>
              <w:spacing w:after="20"/>
            </w:pPr>
            <w:r>
              <w:rPr>
                <w:sz w:val="17"/>
              </w:rPr>
              <w:t>Begin dedicated 138 kV substation (nears 75 MW)</w:t>
            </w:r>
          </w:p>
        </w:tc>
      </w:tr>
      <w:tr>
        <w:tc>
          <w:tcPr>
            <w:tcW w:type="dxa" w:w="1800"/>
          </w:tcPr>
          <w:p>
            <w:pPr>
              <w:spacing w:after="20"/>
            </w:pPr>
            <w:r>
              <w:rPr>
                <w:b/>
                <w:sz w:val="17"/>
              </w:rPr>
              <w:t>Phase 4 — Full</w:t>
            </w:r>
          </w:p>
        </w:tc>
        <w:tc>
          <w:tcPr>
            <w:tcW w:type="dxa" w:w="1152"/>
          </w:tcPr>
          <w:p>
            <w:pPr>
              <w:spacing w:after="20"/>
            </w:pPr>
            <w:r>
              <w:rPr>
                <w:sz w:val="17"/>
              </w:rPr>
              <w:t>Yr 7–10</w:t>
            </w:r>
          </w:p>
        </w:tc>
        <w:tc>
          <w:tcPr>
            <w:tcW w:type="dxa" w:w="936"/>
          </w:tcPr>
          <w:p>
            <w:pPr>
              <w:spacing w:after="20"/>
            </w:pPr>
            <w:r>
              <w:rPr>
                <w:sz w:val="17"/>
              </w:rPr>
              <w:t>20</w:t>
            </w:r>
          </w:p>
        </w:tc>
        <w:tc>
          <w:tcPr>
            <w:tcW w:type="dxa" w:w="2304"/>
          </w:tcPr>
          <w:p>
            <w:pPr>
              <w:spacing w:after="20"/>
            </w:pPr>
            <w:r>
              <w:rPr>
                <w:sz w:val="17"/>
              </w:rPr>
              <w:t>~90–120 MW</w:t>
            </w:r>
          </w:p>
        </w:tc>
        <w:tc>
          <w:tcPr>
            <w:tcW w:type="dxa" w:w="3888"/>
          </w:tcPr>
          <w:p>
            <w:pPr>
              <w:spacing w:after="20"/>
            </w:pPr>
            <w:r>
              <w:rPr>
                <w:sz w:val="17"/>
              </w:rPr>
              <w:t>Dedicated 138 kV port substation; full LLIS</w:t>
            </w:r>
          </w:p>
        </w:tc>
      </w:tr>
    </w:tbl>
    <w:p>
      <w:pPr>
        <w:spacing w:before="60"/>
      </w:pPr>
      <w:r>
        <w:rPr>
          <w:b w:val="0"/>
          <w:i/>
          <w:color w:val="5A6573"/>
          <w:sz w:val="17"/>
        </w:rPr>
        <w:t xml:space="preserve">Geographically, the pilot targets </w:t>
      </w:r>
      <w:r>
        <w:rPr>
          <w:b/>
          <w:i/>
          <w:color w:val="5A6573"/>
          <w:sz w:val="17"/>
        </w:rPr>
        <w:t>Inner Harbor</w:t>
      </w:r>
      <w:r>
        <w:rPr>
          <w:b w:val="0"/>
          <w:i/>
          <w:color w:val="5A6573"/>
          <w:sz w:val="17"/>
        </w:rPr>
        <w:t xml:space="preserve"> berths closest to existing AEP Texas feeders, expanding along the Inner Harbor and then to the </w:t>
      </w:r>
      <w:r>
        <w:rPr>
          <w:b/>
          <w:i/>
          <w:color w:val="5A6573"/>
          <w:sz w:val="17"/>
        </w:rPr>
        <w:t>La Quinta/Ingleside</w:t>
      </w:r>
      <w:r>
        <w:rPr>
          <w:b w:val="0"/>
          <w:i/>
          <w:color w:val="5A6573"/>
          <w:sz w:val="17"/>
        </w:rPr>
        <w:t xml:space="preserve"> energy terminals as a dedicated 138 kV substation comes online. This sequences the ERCOT studies so the substation is energized ahead of the berths that depend on it. Berth counts, loads, and horizons are the planning basis the study will refine against surveyed vessel data and AEP Texas hosting-capacity input.</w:t>
      </w:r>
    </w:p>
    <w:p>
      <w:pPr>
        <w:spacing w:before="200" w:after="60"/>
        <w:pBdr>
          <w:bottom w:val="single" w:sz="8" w:space="2" w:color="0B5D8F"/>
        </w:pBdr>
      </w:pPr>
      <w:r>
        <w:rPr>
          <w:b/>
          <w:caps/>
          <w:color w:val="0B5D8F"/>
          <w:sz w:val="22"/>
        </w:rPr>
        <w:t>4. ERCOT Interconnection for Loads of This Size</w:t>
      </w:r>
    </w:p>
    <w:p>
      <w:r>
        <w:rPr>
          <w:b w:val="0"/>
          <w:i w:val="0"/>
          <w:color w:val="1A2230"/>
          <w:sz w:val="20"/>
        </w:rPr>
        <w:t xml:space="preserve">ERCOT formalized large-load interconnection through </w:t>
      </w:r>
      <w:r>
        <w:rPr>
          <w:b/>
          <w:i w:val="0"/>
          <w:color w:val="1A2230"/>
          <w:sz w:val="20"/>
        </w:rPr>
        <w:t>NPRR1234</w:t>
      </w:r>
      <w:r>
        <w:rPr>
          <w:b w:val="0"/>
          <w:i w:val="0"/>
          <w:color w:val="1A2230"/>
          <w:sz w:val="20"/>
        </w:rPr>
        <w:t xml:space="preserve"> and </w:t>
      </w:r>
      <w:r>
        <w:rPr>
          <w:b/>
          <w:i w:val="0"/>
          <w:color w:val="1A2230"/>
          <w:sz w:val="20"/>
        </w:rPr>
        <w:t>PGRR115</w:t>
      </w:r>
      <w:r>
        <w:rPr>
          <w:b w:val="0"/>
          <w:i w:val="0"/>
          <w:color w:val="1A2230"/>
          <w:sz w:val="20"/>
        </w:rPr>
        <w:t xml:space="preserve"> (approved by the ERCOT Board on </w:t>
      </w:r>
      <w:r>
        <w:rPr>
          <w:b/>
          <w:i w:val="0"/>
          <w:color w:val="1A2230"/>
          <w:sz w:val="20"/>
        </w:rPr>
        <w:t>April 8, 2025</w:t>
      </w:r>
      <w:r>
        <w:rPr>
          <w:b w:val="0"/>
          <w:i w:val="0"/>
          <w:color w:val="1A2230"/>
          <w:sz w:val="20"/>
        </w:rPr>
        <w:t>; phased implementation from July 21, 2025, with key PGRR115 provisions effective Dec 15, 2025). Two thresholds govern this program:</w:t>
      </w:r>
    </w:p>
    <w:p>
      <w:pPr>
        <w:pStyle w:val="ListBullet"/>
        <w:spacing w:after="40" w:line="259" w:lineRule="auto"/>
      </w:pPr>
      <w:r>
        <w:rPr>
          <w:b/>
          <w:i w:val="0"/>
          <w:color w:val="1A2230"/>
          <w:sz w:val="19"/>
        </w:rPr>
        <w:t>≥ 25 MW</w:t>
      </w:r>
      <w:r>
        <w:rPr>
          <w:b w:val="0"/>
          <w:i w:val="0"/>
          <w:color w:val="1A2230"/>
          <w:sz w:val="19"/>
        </w:rPr>
        <w:t xml:space="preserve"> — modeling standards apply; the load must be explicitly represented in ERCOT planning cases. </w:t>
      </w:r>
      <w:r>
        <w:rPr>
          <w:b w:val="0"/>
          <w:i/>
          <w:color w:val="1A2230"/>
          <w:sz w:val="19"/>
        </w:rPr>
        <w:t>Reached around Phase 2.</w:t>
      </w:r>
    </w:p>
    <w:p>
      <w:pPr>
        <w:pStyle w:val="ListBullet"/>
        <w:spacing w:after="40" w:line="259" w:lineRule="auto"/>
      </w:pPr>
      <w:r>
        <w:rPr>
          <w:b/>
          <w:i w:val="0"/>
          <w:color w:val="1A2230"/>
          <w:sz w:val="19"/>
        </w:rPr>
        <w:t>≥ 75 MW</w:t>
      </w:r>
      <w:r>
        <w:rPr>
          <w:b w:val="0"/>
          <w:i w:val="0"/>
          <w:color w:val="1A2230"/>
          <w:sz w:val="19"/>
        </w:rPr>
        <w:t xml:space="preserve"> aggregate at a single site behind common point(s) of interconnection — triggers the full </w:t>
      </w:r>
      <w:r>
        <w:rPr>
          <w:b/>
          <w:i w:val="0"/>
          <w:color w:val="1A2230"/>
          <w:sz w:val="19"/>
        </w:rPr>
        <w:t>Large Load Interconnection Study (LLIS)</w:t>
      </w:r>
      <w:r>
        <w:rPr>
          <w:b w:val="0"/>
          <w:i w:val="0"/>
          <w:color w:val="1A2230"/>
          <w:sz w:val="19"/>
        </w:rPr>
        <w:t xml:space="preserve">. </w:t>
      </w:r>
      <w:r>
        <w:rPr>
          <w:b w:val="0"/>
          <w:i/>
          <w:color w:val="1A2230"/>
          <w:sz w:val="19"/>
        </w:rPr>
        <w:t>Reached at Phase 3–4.</w:t>
      </w:r>
    </w:p>
    <w:p>
      <w:r>
        <w:rPr>
          <w:b w:val="0"/>
          <w:i w:val="0"/>
          <w:color w:val="1A2230"/>
          <w:sz w:val="20"/>
        </w:rPr>
        <w:t xml:space="preserve">The LLIS is led by the interconnecting </w:t>
      </w:r>
      <w:r>
        <w:rPr>
          <w:b/>
          <w:i w:val="0"/>
          <w:color w:val="1A2230"/>
          <w:sz w:val="20"/>
        </w:rPr>
        <w:t>TSP (AEP Texas)</w:t>
      </w:r>
      <w:r>
        <w:rPr>
          <w:b w:val="0"/>
          <w:i w:val="0"/>
          <w:color w:val="1A2230"/>
          <w:sz w:val="20"/>
        </w:rPr>
        <w:t xml:space="preserve"> and includes </w:t>
      </w:r>
      <w:r>
        <w:rPr>
          <w:b/>
          <w:i w:val="0"/>
          <w:color w:val="1A2230"/>
          <w:sz w:val="20"/>
        </w:rPr>
        <w:t>steady-state, short-circuit, and dynamic/transient stability</w:t>
      </w:r>
      <w:r>
        <w:rPr>
          <w:b w:val="0"/>
          <w:i w:val="0"/>
          <w:color w:val="1A2230"/>
          <w:sz w:val="20"/>
        </w:rPr>
        <w:t xml:space="preserve"> analyses. A study fee of </w:t>
      </w:r>
      <w:r>
        <w:rPr>
          <w:b/>
          <w:i w:val="0"/>
          <w:color w:val="1A2230"/>
          <w:sz w:val="20"/>
        </w:rPr>
        <w:t>~$14,000 per LLIS request</w:t>
      </w:r>
      <w:r>
        <w:rPr>
          <w:b w:val="0"/>
          <w:i w:val="0"/>
          <w:color w:val="1A2230"/>
          <w:sz w:val="20"/>
        </w:rPr>
        <w:t xml:space="preserve"> applies. Large loads must clear ERCOT's </w:t>
      </w:r>
      <w:r>
        <w:rPr>
          <w:b/>
          <w:i w:val="0"/>
          <w:color w:val="1A2230"/>
          <w:sz w:val="20"/>
        </w:rPr>
        <w:t>Quarterly Stability Assessment (QSA)</w:t>
      </w:r>
      <w:r>
        <w:rPr>
          <w:b w:val="0"/>
          <w:i w:val="0"/>
          <w:color w:val="1A2230"/>
          <w:sz w:val="20"/>
        </w:rPr>
        <w:t xml:space="preserve"> before Initial Energization. Each project submits a step-by-step ramp-up schedule with milestone demands, and must demonstrate development milestones (land control, permits, study payments) to hold queue position.</w:t>
      </w:r>
    </w:p>
    <w:p>
      <w:pPr>
        <w:spacing w:before="80" w:after="120"/>
        <w:shd w:val="clear" w:fill="F1F5F9"/>
        <w:pBdr>
          <w:left w:val="single" w:sz="18" w:space="8" w:color="0B5D8F"/>
        </w:pBdr>
      </w:pPr>
      <w:r>
        <w:rPr>
          <w:b/>
          <w:i w:val="0"/>
          <w:color w:val="1A2230"/>
          <w:sz w:val="19"/>
        </w:rPr>
        <w:t xml:space="preserve">Feasibility study deliverable: </w:t>
      </w:r>
      <w:r>
        <w:rPr>
          <w:b w:val="0"/>
          <w:i w:val="0"/>
          <w:color w:val="1A2230"/>
          <w:sz w:val="19"/>
        </w:rPr>
        <w:t>Because the program crosses both the 25 MW and 75 MW thresholds over time, our study will map the ERCOT/AEP Texas interconnection pathway and timeline — identifying when modeling submissions (Phase 2) and the LLIS (ahead of Phase 3/4) must start so transmission facilities land on the critical path, not behind it — and flag this coordination as a defined downstream deliverable for the implementation phase.</w:t>
      </w:r>
    </w:p>
    <w:p>
      <w:pPr>
        <w:spacing w:before="200" w:after="60"/>
        <w:pBdr>
          <w:bottom w:val="single" w:sz="8" w:space="2" w:color="0B5D8F"/>
        </w:pBdr>
      </w:pPr>
      <w:r>
        <w:rPr>
          <w:b/>
          <w:caps/>
          <w:color w:val="0B5D8F"/>
          <w:sz w:val="22"/>
        </w:rPr>
        <w:t>5. Resiliency &amp; Power Infrastructure</w:t>
      </w:r>
    </w:p>
    <w:p>
      <w:r>
        <w:rPr>
          <w:b w:val="0"/>
          <w:i w:val="0"/>
          <w:color w:val="1A2230"/>
          <w:sz w:val="20"/>
        </w:rPr>
        <w:t xml:space="preserve">Corpus Christi is a </w:t>
      </w:r>
      <w:r>
        <w:rPr>
          <w:b/>
          <w:i w:val="0"/>
          <w:color w:val="1A2230"/>
          <w:sz w:val="20"/>
        </w:rPr>
        <w:t>hurricane-exposed coastal industrial port</w:t>
      </w:r>
      <w:r>
        <w:rPr>
          <w:b w:val="0"/>
          <w:i w:val="0"/>
          <w:color w:val="1A2230"/>
          <w:sz w:val="20"/>
        </w:rPr>
        <w:t xml:space="preserve"> (cf. Hurricane Harvey, 2017). Shore power is mission-supporting infrastructure, so the design must assume severe-weather and contingency conditions:</w:t>
      </w:r>
    </w:p>
    <w:p>
      <w:pPr>
        <w:pStyle w:val="ListBullet"/>
        <w:spacing w:after="40" w:line="259" w:lineRule="auto"/>
      </w:pPr>
      <w:r>
        <w:rPr>
          <w:b/>
          <w:i w:val="0"/>
          <w:color w:val="1A2230"/>
          <w:sz w:val="19"/>
        </w:rPr>
        <w:t xml:space="preserve">N-1 redundancy &amp; looped feeds: </w:t>
      </w:r>
      <w:r>
        <w:rPr>
          <w:b w:val="0"/>
          <w:i w:val="0"/>
          <w:color w:val="1A2230"/>
          <w:sz w:val="19"/>
        </w:rPr>
        <w:t>the dedicated port substation should take dual 138 kV sources from independent points on the ring so a single line or transformer outage does not de-energize the berths.</w:t>
      </w:r>
    </w:p>
    <w:p>
      <w:pPr>
        <w:pStyle w:val="ListBullet"/>
        <w:spacing w:after="40" w:line="259" w:lineRule="auto"/>
      </w:pPr>
      <w:r>
        <w:rPr>
          <w:b/>
          <w:i w:val="0"/>
          <w:color w:val="1A2230"/>
          <w:sz w:val="19"/>
        </w:rPr>
        <w:t xml:space="preserve">In-zone generation buffer: </w:t>
      </w:r>
      <w:r>
        <w:rPr>
          <w:b w:val="0"/>
          <w:i w:val="0"/>
          <w:color w:val="1A2230"/>
          <w:sz w:val="19"/>
        </w:rPr>
        <w:t>proximity to Barney Davis, Nueces Bay, and Lon Hill (~1.5 GW) supports local voltage and resource adequacy during import constraints.</w:t>
      </w:r>
    </w:p>
    <w:p>
      <w:pPr>
        <w:pStyle w:val="ListBullet"/>
        <w:spacing w:after="40" w:line="259" w:lineRule="auto"/>
      </w:pPr>
      <w:r>
        <w:rPr>
          <w:b/>
          <w:i w:val="0"/>
          <w:color w:val="1A2230"/>
          <w:sz w:val="19"/>
        </w:rPr>
        <w:t xml:space="preserve">Battery energy storage (BESS): </w:t>
      </w:r>
      <w:r>
        <w:rPr>
          <w:b w:val="0"/>
          <w:i w:val="0"/>
          <w:color w:val="1A2230"/>
          <w:sz w:val="19"/>
        </w:rPr>
        <w:t>peak-shaving to manage demand charges, ride-through for momentary disturbances, and smoother load steps as vessels connect/disconnect.</w:t>
      </w:r>
    </w:p>
    <w:p>
      <w:pPr>
        <w:pStyle w:val="ListBullet"/>
        <w:spacing w:after="40" w:line="259" w:lineRule="auto"/>
      </w:pPr>
      <w:r>
        <w:rPr>
          <w:b/>
          <w:i w:val="0"/>
          <w:color w:val="1A2230"/>
          <w:sz w:val="19"/>
        </w:rPr>
        <w:t xml:space="preserve">Microgrid &amp; islanding: </w:t>
      </w:r>
      <w:r>
        <w:rPr>
          <w:b w:val="0"/>
          <w:i w:val="0"/>
          <w:color w:val="1A2230"/>
          <w:sz w:val="19"/>
        </w:rPr>
        <w:t>ability to island critical berths on local generation/BESS during grid outages, with black-start capability for priority docks.</w:t>
      </w:r>
    </w:p>
    <w:p>
      <w:pPr>
        <w:pStyle w:val="ListBullet"/>
        <w:spacing w:after="40" w:line="259" w:lineRule="auto"/>
      </w:pPr>
      <w:r>
        <w:rPr>
          <w:b/>
          <w:i w:val="0"/>
          <w:color w:val="1A2230"/>
          <w:sz w:val="19"/>
        </w:rPr>
        <w:t xml:space="preserve">Power quality: </w:t>
      </w:r>
      <w:r>
        <w:rPr>
          <w:b w:val="0"/>
          <w:i w:val="0"/>
          <w:color w:val="1A2230"/>
          <w:sz w:val="19"/>
        </w:rPr>
        <w:t>frequency conversion (50/60 Hz vessels), harmonic mitigation, reactive support, and N+1 shore-power converters so one failed unit does not strand a berth.</w:t>
      </w:r>
    </w:p>
    <w:p>
      <w:pPr>
        <w:pStyle w:val="ListBullet"/>
        <w:spacing w:after="40" w:line="259" w:lineRule="auto"/>
      </w:pPr>
      <w:r>
        <w:rPr>
          <w:b/>
          <w:i w:val="0"/>
          <w:color w:val="1A2230"/>
          <w:sz w:val="19"/>
        </w:rPr>
        <w:t xml:space="preserve">Hardening: </w:t>
      </w:r>
      <w:r>
        <w:rPr>
          <w:b w:val="0"/>
          <w:i w:val="0"/>
          <w:color w:val="1A2230"/>
          <w:sz w:val="19"/>
        </w:rPr>
        <w:t>elevated/flood-rated equipment pads, wind-rated structures, and corrosion protection for the marine/salt-air environment.</w:t>
      </w:r>
    </w:p>
    <w:p>
      <w:pPr>
        <w:spacing w:before="80" w:after="120"/>
        <w:shd w:val="clear" w:fill="F1F5F9"/>
        <w:pBdr>
          <w:left w:val="single" w:sz="18" w:space="8" w:color="0B5D8F"/>
        </w:pBdr>
      </w:pPr>
      <w:r>
        <w:rPr>
          <w:b/>
          <w:i w:val="0"/>
          <w:color w:val="1A2230"/>
          <w:sz w:val="19"/>
        </w:rPr>
        <w:t xml:space="preserve">Resiliency target: </w:t>
      </w:r>
      <w:r>
        <w:rPr>
          <w:b w:val="0"/>
          <w:i w:val="0"/>
          <w:color w:val="1A2230"/>
          <w:sz w:val="19"/>
        </w:rPr>
        <w:t>berths remain serviceable through a single transmission contingency and can ride through / island during regional disturbances — protecting both air-quality compliance and continuity of port operations.</w:t>
      </w:r>
    </w:p>
    <w:p>
      <w:pPr>
        <w:spacing w:before="80"/>
      </w:pPr>
      <w:r>
        <w:rPr>
          <w:b/>
          <w:i w:val="0"/>
          <w:color w:val="1A2230"/>
          <w:sz w:val="19"/>
        </w:rPr>
        <w:t xml:space="preserve">What our feasibility study will deliver: </w:t>
      </w:r>
      <w:r>
        <w:rPr>
          <w:b w:val="0"/>
          <w:i w:val="0"/>
          <w:color w:val="1A2230"/>
          <w:sz w:val="19"/>
        </w:rPr>
        <w:t>(1) surveyed per-berth load profiles and coincident-demand diversity; (2) a costed Phase 1 pilot vs. Phase 4 138 kV substation comparison; (3) a mapped ERCOT/AEP Texas interconnection pathway with LLIS timing; and (4) a recommended BESS/microgrid resiliency package with availability targets — concluding with a go/no-go recommendation and a phased implementation roadmap.</w:t>
      </w:r>
    </w:p>
    <w:p>
      <w:pPr>
        <w:spacing w:before="120"/>
        <w:pBdr>
          <w:top w:val="single" w:sz="6" w:space="4" w:color="C9D2DD"/>
        </w:pBdr>
      </w:pPr>
      <w:r>
        <w:rPr>
          <w:color w:val="5A6573"/>
          <w:sz w:val="15"/>
        </w:rPr>
        <w:t>Sources: USACE/Port Corpus Christi CCSC Channel Improvement Project (2019); ERCOT NPRR1234 / PGRR115, Large Load Integration; AEP Texas / ETT filings; CPS Energy / Talen; IEC/IEEE 80005-1.</w:t>
      </w:r>
    </w:p>
    <w:sectPr w:rsidR="00FC693F" w:rsidRPr="0006063C" w:rsidSect="00034616">
      <w:pgSz w:w="12240" w:h="15840"/>
      <w:pgMar w:top="792"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