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a7ba74dc7091b10bec1a9734e0db1a4dfb80fdc"/>
    <w:p>
      <w:pPr>
        <w:pStyle w:val="Heading1"/>
      </w:pPr>
      <w:r>
        <w:t xml:space="preserve">Patterns of Waking Sedentary Accumulation</w:t>
      </w:r>
    </w:p>
    <w:p>
      <w:pPr>
        <w:pStyle w:val="FirstParagraph"/>
      </w:pPr>
      <w:r>
        <w:rPr>
          <w:bCs/>
          <w:b/>
        </w:rPr>
        <w:t xml:space="preserve">Figure 4. Distribution of participant-average waking sedentary-bout duration in the adult analytic sample.</w:t>
      </w:r>
      <w:r>
        <w:t xml:space="preserve"> </w:t>
      </w:r>
      <w:r>
        <w:t xml:space="preserve">Panel A shows participant-average waking sedentary-bout duration in 10-minute intervals, with bars labelled by the number and percentage of participants. Panel B shows the distribution of participant-average bout duration across mean waking sedentary-time groups.</w:t>
      </w:r>
    </w:p>
    <w:p>
      <w:pPr>
        <w:pStyle w:val="BodyText"/>
      </w:pPr>
      <w:r>
        <w:t xml:space="preserve">Greater waking sedentary time was accompanied by longer average sedentary bouts. Most participants had an average bout duration of 11–20 minutes, and average bout duration generally increased across waking sedentary-time groups. Waking sedentary bouts were defined as consecutive 1-minute waking records with a sitting fraction of at least 0.50 and were terminated at calendar-day boundaries.</w:t>
      </w:r>
    </w:p>
    <w:bookmarkEnd w:id="20"/>
    <w:bookmarkStart w:id="21" w:name="Xab524af5488aa16fcf5ff0104bc5b073e5d86e3"/>
    <w:p>
      <w:pPr>
        <w:pStyle w:val="Heading1"/>
      </w:pPr>
      <w:r>
        <w:t xml:space="preserve">Appendix B2: Sensitivity to the Waking-Time Estimation Method</w:t>
      </w:r>
    </w:p>
    <w:p>
      <w:pPr>
        <w:pStyle w:val="FirstParagraph"/>
      </w:pPr>
      <w:r>
        <w:rPr>
          <w:bCs/>
          <w:b/>
        </w:rPr>
        <w:t xml:space="preserve">Table 7. Survey-weighted time-use estimates across waking-time estimation methods. Values are mean hours/day (95% CI).</w:t>
      </w:r>
    </w:p>
    <w:tbl>
      <w:tblPr>
        <w:tblStyle w:val="Table"/>
        <w:tblW w:type="pct" w:w="5000.0"/>
        <w:tblLook w:firstRow="1" w:lastRow="0" w:firstColumn="0" w:lastColumn="0" w:noHBand="0" w:noVBand="0" w:val="0020"/>
      </w:tblPr>
      <w:tblGrid>
        <w:gridCol w:w="1584"/>
        <w:gridCol w:w="2112"/>
        <w:gridCol w:w="2112"/>
        <w:gridCol w:w="2112"/>
      </w:tblGrid>
      <w:tr>
        <w:tc>
          <w:p>
            <w:pPr>
              <w:pStyle w:val="Compact"/>
              <w:jc w:val="left"/>
            </w:pPr>
            <w:r>
              <w:t xml:space="preserve">Measure</w:t>
            </w:r>
          </w:p>
        </w:tc>
        <w:tc>
          <w:p>
            <w:pPr>
              <w:pStyle w:val="Compact"/>
              <w:jc w:val="right"/>
            </w:pPr>
            <w:r>
              <w:t xml:space="preserve">Direct SWaN states</w:t>
            </w:r>
          </w:p>
        </w:tc>
        <w:tc>
          <w:p>
            <w:pPr>
              <w:pStyle w:val="Compact"/>
              <w:jc w:val="right"/>
            </w:pPr>
            <w:r>
              <w:t xml:space="preserve">Direct NHANES states</w:t>
            </w:r>
          </w:p>
        </w:tc>
        <w:tc>
          <w:p>
            <w:pPr>
              <w:pStyle w:val="Compact"/>
              <w:jc w:val="right"/>
            </w:pPr>
            <w:r>
              <w:t xml:space="preserve">NHANES states with bout refinement</w:t>
            </w:r>
          </w:p>
        </w:tc>
      </w:tr>
      <w:tr>
        <w:tc>
          <w:p>
            <w:pPr>
              <w:pStyle w:val="Compact"/>
              <w:jc w:val="left"/>
            </w:pPr>
            <w:r>
              <w:t xml:space="preserve">Waking time</w:t>
            </w:r>
          </w:p>
        </w:tc>
        <w:tc>
          <w:p>
            <w:pPr>
              <w:pStyle w:val="Compact"/>
              <w:jc w:val="right"/>
            </w:pPr>
            <w:r>
              <w:t xml:space="preserve">13.01 (12.90, 13.11)</w:t>
            </w:r>
          </w:p>
        </w:tc>
        <w:tc>
          <w:p>
            <w:pPr>
              <w:pStyle w:val="Compact"/>
              <w:jc w:val="right"/>
            </w:pPr>
            <w:r>
              <w:t xml:space="preserve">14.90 (14.80, 14.99)</w:t>
            </w:r>
          </w:p>
        </w:tc>
        <w:tc>
          <w:p>
            <w:pPr>
              <w:pStyle w:val="Compact"/>
              <w:jc w:val="right"/>
            </w:pPr>
            <w:r>
              <w:t xml:space="preserve">15.97 (15.89, 16.05)</w:t>
            </w:r>
          </w:p>
        </w:tc>
      </w:tr>
      <w:tr>
        <w:tc>
          <w:p>
            <w:pPr>
              <w:pStyle w:val="Compact"/>
              <w:jc w:val="left"/>
            </w:pPr>
            <w:r>
              <w:t xml:space="preserve">Sleep or excluded time</w:t>
            </w:r>
          </w:p>
        </w:tc>
        <w:tc>
          <w:p>
            <w:pPr>
              <w:pStyle w:val="Compact"/>
              <w:jc w:val="right"/>
            </w:pPr>
            <w:r>
              <w:t xml:space="preserve">10.99 (10.89, 11.10)</w:t>
            </w:r>
          </w:p>
        </w:tc>
        <w:tc>
          <w:p>
            <w:pPr>
              <w:pStyle w:val="Compact"/>
              <w:jc w:val="right"/>
            </w:pPr>
            <w:r>
              <w:t xml:space="preserve">9.10 (9.01, 9.20)</w:t>
            </w:r>
          </w:p>
        </w:tc>
        <w:tc>
          <w:p>
            <w:pPr>
              <w:pStyle w:val="Compact"/>
              <w:jc w:val="right"/>
            </w:pPr>
            <w:r>
              <w:t xml:space="preserve">8.03 (7.95, 8.11)</w:t>
            </w:r>
          </w:p>
        </w:tc>
      </w:tr>
      <w:tr>
        <w:tc>
          <w:p>
            <w:pPr>
              <w:pStyle w:val="Compact"/>
              <w:jc w:val="left"/>
            </w:pPr>
            <w:r>
              <w:t xml:space="preserve">Waking sedentary time</w:t>
            </w:r>
          </w:p>
        </w:tc>
        <w:tc>
          <w:p>
            <w:pPr>
              <w:pStyle w:val="Compact"/>
              <w:jc w:val="right"/>
            </w:pPr>
            <w:r>
              <w:t xml:space="preserve">7.01 (6.94, 7.09)</w:t>
            </w:r>
          </w:p>
        </w:tc>
        <w:tc>
          <w:p>
            <w:pPr>
              <w:pStyle w:val="Compact"/>
              <w:jc w:val="right"/>
            </w:pPr>
            <w:r>
              <w:t xml:space="preserve">8.75 (8.67, 8.82)</w:t>
            </w:r>
          </w:p>
        </w:tc>
        <w:tc>
          <w:p>
            <w:pPr>
              <w:pStyle w:val="Compact"/>
              <w:jc w:val="right"/>
            </w:pPr>
            <w:r>
              <w:t xml:space="preserve">9.79 (9.73, 9.86)</w:t>
            </w:r>
          </w:p>
        </w:tc>
      </w:tr>
      <w:tr>
        <w:tc>
          <w:p>
            <w:pPr>
              <w:pStyle w:val="Compact"/>
              <w:jc w:val="left"/>
            </w:pPr>
            <w:r>
              <w:t xml:space="preserve">Waking non-sedentary time</w:t>
            </w:r>
          </w:p>
        </w:tc>
        <w:tc>
          <w:p>
            <w:pPr>
              <w:pStyle w:val="Compact"/>
              <w:jc w:val="right"/>
            </w:pPr>
            <w:r>
              <w:t xml:space="preserve">5.99 (5.91, 6.07)</w:t>
            </w:r>
          </w:p>
        </w:tc>
        <w:tc>
          <w:p>
            <w:pPr>
              <w:pStyle w:val="Compact"/>
              <w:jc w:val="right"/>
            </w:pPr>
            <w:r>
              <w:t xml:space="preserve">6.15 (6.07, 6.23)</w:t>
            </w:r>
          </w:p>
        </w:tc>
        <w:tc>
          <w:p>
            <w:pPr>
              <w:pStyle w:val="Compact"/>
              <w:jc w:val="right"/>
            </w:pPr>
            <w:r>
              <w:t xml:space="preserve">6.18 (6.10, 6.26)</w:t>
            </w:r>
          </w:p>
        </w:tc>
      </w:tr>
    </w:tbl>
    <w:p>
      <w:pPr>
        <w:pStyle w:val="BodyText"/>
      </w:pPr>
      <w:r>
        <w:t xml:space="preserve">Waking-time estimates varied across the three methods. Mean waking time increased from 13.01 hours/day using the SWaN states directly to 14.90 hours/day using the NHANES minute-level states directly and 15.97 hours/day after applying the bout-refinement method. Waking sedentary time increased correspondingly from 7.01 to 8.75 and 9.79 hours/day. In contrast, waking non-sedentary time remained relatively stable, ranging from 5.99 to 6.18 hours/day. Thus, the differences among methods primarily reflected how sedentary periods near the sleep–wake boundary were classified. The bout-refinement method was selected because it identified sustained sleep periods while accommodating brief interruptions, providing a more complete estimate of the waking day.</w:t>
      </w:r>
    </w:p>
    <w:p>
      <w:pPr>
        <w:pStyle w:val="BodyText"/>
      </w:pPr>
      <w:r>
        <w:rPr>
          <w:bCs/>
          <w:b/>
        </w:rPr>
        <w:t xml:space="preserve">Table 8. Survey-weighted time-use and non-wear estimates by eligibility and non-wear status. Values are mean (95% CI).</w:t>
      </w:r>
    </w:p>
    <w:tbl>
      <w:tblPr>
        <w:tblStyle w:val="Table"/>
        <w:tblW w:type="pct" w:w="5000.0"/>
        <w:tblLook w:firstRow="1" w:lastRow="0" w:firstColumn="0" w:lastColumn="0" w:noHBand="0" w:noVBand="0" w:val="0020"/>
      </w:tblPr>
      <w:tblGrid>
        <w:gridCol w:w="1584"/>
        <w:gridCol w:w="2112"/>
        <w:gridCol w:w="2112"/>
        <w:gridCol w:w="2112"/>
      </w:tblGrid>
      <w:tr>
        <w:tc>
          <w:p>
            <w:pPr>
              <w:pStyle w:val="Compact"/>
              <w:jc w:val="left"/>
            </w:pPr>
            <w:r>
              <w:t xml:space="preserve">Measure</w:t>
            </w:r>
          </w:p>
        </w:tc>
        <w:tc>
          <w:p>
            <w:pPr>
              <w:pStyle w:val="Compact"/>
              <w:jc w:val="right"/>
            </w:pPr>
            <w:r>
              <w:t xml:space="preserve">Adults without any non-wear (N = 5,723)</w:t>
            </w:r>
          </w:p>
        </w:tc>
        <w:tc>
          <w:p>
            <w:pPr>
              <w:pStyle w:val="Compact"/>
              <w:jc w:val="right"/>
            </w:pPr>
            <w:r>
              <w:t xml:space="preserve">All eligible adults (N = 9,308)</w:t>
            </w:r>
          </w:p>
        </w:tc>
        <w:tc>
          <w:p>
            <w:pPr>
              <w:pStyle w:val="Compact"/>
              <w:jc w:val="right"/>
            </w:pPr>
            <w:r>
              <w:t xml:space="preserve">Excluded adults (N = 699)</w:t>
            </w:r>
          </w:p>
        </w:tc>
      </w:tr>
      <w:tr>
        <w:tc>
          <w:p>
            <w:pPr>
              <w:pStyle w:val="Compact"/>
              <w:jc w:val="left"/>
            </w:pPr>
            <w:r>
              <w:t xml:space="preserve">Sleep</w:t>
            </w:r>
          </w:p>
        </w:tc>
        <w:tc>
          <w:p>
            <w:pPr>
              <w:pStyle w:val="Compact"/>
              <w:jc w:val="right"/>
            </w:pPr>
            <w:r>
              <w:t xml:space="preserve">7.95 (7.88, 8.03)</w:t>
            </w:r>
          </w:p>
        </w:tc>
        <w:tc>
          <w:p>
            <w:pPr>
              <w:pStyle w:val="Compact"/>
              <w:jc w:val="right"/>
            </w:pPr>
            <w:r>
              <w:t xml:space="preserve">8.03 (7.95, 8.11)</w:t>
            </w:r>
          </w:p>
        </w:tc>
        <w:tc>
          <w:p>
            <w:pPr>
              <w:pStyle w:val="Compact"/>
              <w:jc w:val="right"/>
            </w:pPr>
            <w:r>
              <w:t xml:space="preserve">2.00 (1.79, 2.22)</w:t>
            </w:r>
          </w:p>
        </w:tc>
      </w:tr>
      <w:tr>
        <w:tc>
          <w:p>
            <w:pPr>
              <w:pStyle w:val="Compact"/>
              <w:jc w:val="left"/>
            </w:pPr>
            <w:r>
              <w:t xml:space="preserve">Waking sedentary</w:t>
            </w:r>
          </w:p>
        </w:tc>
        <w:tc>
          <w:p>
            <w:pPr>
              <w:pStyle w:val="Compact"/>
              <w:jc w:val="right"/>
            </w:pPr>
            <w:r>
              <w:t xml:space="preserve">9.80 (9.73, 9.87)</w:t>
            </w:r>
          </w:p>
        </w:tc>
        <w:tc>
          <w:p>
            <w:pPr>
              <w:pStyle w:val="Compact"/>
              <w:jc w:val="right"/>
            </w:pPr>
            <w:r>
              <w:t xml:space="preserve">9.79 (9.73, 9.86)</w:t>
            </w:r>
          </w:p>
        </w:tc>
        <w:tc>
          <w:p>
            <w:pPr>
              <w:pStyle w:val="Compact"/>
              <w:jc w:val="right"/>
            </w:pPr>
            <w:r>
              <w:t xml:space="preserve">19.26 (18.93, 19.58)</w:t>
            </w:r>
          </w:p>
        </w:tc>
      </w:tr>
      <w:tr>
        <w:tc>
          <w:p>
            <w:pPr>
              <w:pStyle w:val="Compact"/>
              <w:jc w:val="left"/>
            </w:pPr>
            <w:r>
              <w:t xml:space="preserve">Waking</w:t>
            </w:r>
          </w:p>
        </w:tc>
        <w:tc>
          <w:p>
            <w:pPr>
              <w:pStyle w:val="Compact"/>
              <w:jc w:val="right"/>
            </w:pPr>
            <w:r>
              <w:t xml:space="preserve">16.05 (15.97, 16.12)</w:t>
            </w:r>
          </w:p>
        </w:tc>
        <w:tc>
          <w:p>
            <w:pPr>
              <w:pStyle w:val="Compact"/>
              <w:jc w:val="right"/>
            </w:pPr>
            <w:r>
              <w:t xml:space="preserve">15.97 (15.89, 16.05)</w:t>
            </w:r>
          </w:p>
        </w:tc>
        <w:tc>
          <w:p>
            <w:pPr>
              <w:pStyle w:val="Compact"/>
              <w:jc w:val="right"/>
            </w:pPr>
            <w:r>
              <w:t xml:space="preserve">22.00 (21.78, 22.21)</w:t>
            </w:r>
          </w:p>
        </w:tc>
      </w:tr>
      <w:tr>
        <w:tc>
          <w:p>
            <w:pPr>
              <w:pStyle w:val="Compact"/>
              <w:jc w:val="left"/>
            </w:pPr>
            <w:r>
              <w:t xml:space="preserve">Waking non-sedentary</w:t>
            </w:r>
          </w:p>
        </w:tc>
        <w:tc>
          <w:p>
            <w:pPr>
              <w:pStyle w:val="Compact"/>
              <w:jc w:val="right"/>
            </w:pPr>
            <w:r>
              <w:t xml:space="preserve">6.25 (6.16, 6.33)</w:t>
            </w:r>
          </w:p>
        </w:tc>
        <w:tc>
          <w:p>
            <w:pPr>
              <w:pStyle w:val="Compact"/>
              <w:jc w:val="right"/>
            </w:pPr>
            <w:r>
              <w:t xml:space="preserve">6.18 (6.10, 6.26)</w:t>
            </w:r>
          </w:p>
        </w:tc>
        <w:tc>
          <w:p>
            <w:pPr>
              <w:pStyle w:val="Compact"/>
              <w:jc w:val="right"/>
            </w:pPr>
            <w:r>
              <w:t xml:space="preserve">2.74 (2.50, 2.98)</w:t>
            </w:r>
          </w:p>
        </w:tc>
      </w:tr>
      <w:tr>
        <w:tc>
          <w:p>
            <w:pPr>
              <w:pStyle w:val="Compact"/>
              <w:jc w:val="left"/>
            </w:pPr>
            <w:r>
              <w:t xml:space="preserve">Non-wear, % of day</w:t>
            </w:r>
          </w:p>
        </w:tc>
        <w:tc>
          <w:p>
            <w:pPr>
              <w:pStyle w:val="Compact"/>
              <w:jc w:val="right"/>
            </w:pPr>
            <w:r>
              <w:t xml:space="preserve">0.00</w:t>
            </w:r>
          </w:p>
        </w:tc>
        <w:tc>
          <w:p>
            <w:pPr>
              <w:pStyle w:val="Compact"/>
              <w:jc w:val="right"/>
            </w:pPr>
            <w:r>
              <w:t xml:space="preserve">0.35 (0.28, 0.42)</w:t>
            </w:r>
          </w:p>
        </w:tc>
        <w:tc>
          <w:p>
            <w:pPr>
              <w:pStyle w:val="Compact"/>
              <w:jc w:val="right"/>
            </w:pPr>
            <w:r>
              <w:t xml:space="preserve">65.25 (62.82, 67.67)</w:t>
            </w:r>
          </w:p>
        </w:tc>
      </w:tr>
    </w:tbl>
    <w:p>
      <w:pPr>
        <w:pStyle w:val="BodyText"/>
      </w:pPr>
      <w:r>
        <w:t xml:space="preserve">Expanding the sample from the 5,723 adults without any non-wear to all 9,308 eligible adults had little effect on the estimates. Mean waking sedentary time was 9.80 and 9.79 hours/day, respectively, while sleep, waking, and waking non-sedentary estimates differed by no more than 0.08 hours/day. This similarity indicates that including additional eligible participants with bounded non-wear did not materially change the population estimates.</w:t>
      </w:r>
    </w:p>
    <w:p>
      <w:pPr>
        <w:pStyle w:val="BodyText"/>
      </w:pPr>
      <w:r>
        <w:t xml:space="preserve">In contrast, excluded adults had non-wear during an average of 65.25% of the day, compared with 0.35% among eligible adults. Applying the same classification procedures to their available records produced 19.26 hours/day of waking sedentary time, an implausibly high estimate that would have inflated the population estimate if these records had been included. These findings support their exclusion from the analytic sample.</w:t>
      </w:r>
    </w:p>
    <w:bookmarkEnd w:id="2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2026-09-24T21:44:21Z</dcterms:created>
  <dcterms:modified xsi:type="dcterms:W3CDTF">2026-09-24T21:44:21Z</dcterms:modified>
</cp:coreProperties>
</file>

<file path=docProps/custom.xml><?xml version="1.0" encoding="utf-8"?>
<Properties xmlns="http://schemas.openxmlformats.org/officeDocument/2006/custom-properties" xmlns:vt="http://schemas.openxmlformats.org/officeDocument/2006/docPropsVTypes"/>
</file>