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100"/>
        <w:jc w:val="center"/>
      </w:pPr>
      <w:r>
        <w:rPr>
          <w:rFonts w:ascii="Calibri" w:cs="Calibri" w:eastAsia="Calibri" w:hAnsi="Calibri"/>
          <w:b/>
          <w:bCs/>
          <w:color w:val="7C3AED"/>
          <w:sz w:val="22"/>
          <w:szCs w:val="22"/>
        </w:rPr>
        <w:t xml:space="preserve">UX AUDIT REPORT</w:t>
      </w:r>
    </w:p>
    <w:p>
      <w:pPr>
        <w:spacing w:after="120"/>
        <w:jc w:val="center"/>
      </w:pPr>
      <w:r>
        <w:rPr>
          <w:rFonts w:ascii="Calibri" w:cs="Calibri" w:eastAsia="Calibri" w:hAnsi="Calibri"/>
          <w:b/>
          <w:bCs/>
          <w:color w:val="111827"/>
          <w:sz w:val="52"/>
          <w:szCs w:val="52"/>
        </w:rPr>
        <w:t xml:space="preserve">Chuyển tiền nội bộ khác chủ</w:t>
      </w:r>
    </w:p>
    <w:p>
      <w:pPr>
        <w:spacing w:after="360"/>
        <w:jc w:val="center"/>
      </w:pPr>
      <w:r>
        <w:rPr>
          <w:rFonts w:ascii="Calibri" w:cs="Calibri" w:eastAsia="Calibri" w:hAnsi="Calibri"/>
          <w:i/>
          <w:iCs/>
          <w:color w:val="6B7280"/>
          <w:sz w:val="22"/>
          <w:szCs w:val="22"/>
        </w:rPr>
        <w:t xml:space="preserve">Đánh giá trải nghiệm người dùng cho tính năng chuyển tiền nội bộ khác chủ tài khoản — Co-opBank Mobile Banking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12"/>
            <w:tcBorders>
              <w:top w:val="none" w:sz="0"/>
              <w:left w:val="single" w:color="FFFFFF" w:sz="1"/>
              <w:bottom w:val="single" w:color="D97706" w:sz="4"/>
              <w:right w:val="single" w:color="FFFFFF" w:sz="1"/>
            </w:tcBorders>
            <w:shd w:fill="F9FAFB" w:color="F9FAFB" w:val="solid"/>
            <w:vAlign w:val="center"/>
          </w:tcPr>
          <w:p>
            <w:pPr>
              <w:spacing w:after="40" w:before="160"/>
              <w:jc w:val="center"/>
            </w:pPr>
            <w:r>
              <w:rPr>
                <w:rFonts w:ascii="Calibri" w:cs="Calibri" w:eastAsia="Calibri" w:hAnsi="Calibri"/>
                <w:b/>
                <w:bCs/>
                <w:color w:val="D97706"/>
                <w:sz w:val="44"/>
                <w:szCs w:val="44"/>
              </w:rPr>
              <w:t xml:space="preserve">78%</w:t>
            </w:r>
          </w:p>
          <w:p>
            <w:pPr>
              <w:spacing w:after="160"/>
              <w:jc w:val="center"/>
            </w:pPr>
            <w:r>
              <w:rPr>
                <w:rFonts w:ascii="Calibri" w:cs="Calibri" w:eastAsia="Calibri" w:hAnsi="Calibri"/>
                <w:color w:val="6B7280"/>
                <w:sz w:val="16"/>
                <w:szCs w:val="16"/>
              </w:rPr>
              <w:t xml:space="preserve">UX SCORE</w:t>
            </w:r>
          </w:p>
        </w:tc>
        <w:tc>
          <w:tcPr>
            <w:tcW w:type="dxa" w:w="2412"/>
            <w:tcBorders>
              <w:top w:val="none" w:sz="0"/>
              <w:left w:val="single" w:color="FFFFFF" w:sz="1"/>
              <w:bottom w:val="single" w:color="2563EB" w:sz="4"/>
              <w:right w:val="single" w:color="FFFFFF" w:sz="1"/>
            </w:tcBorders>
            <w:shd w:fill="F9FAFB" w:color="F9FAFB" w:val="solid"/>
            <w:vAlign w:val="center"/>
          </w:tcPr>
          <w:p>
            <w:pPr>
              <w:spacing w:after="40" w:before="160"/>
              <w:jc w:val="center"/>
            </w:pPr>
            <w:r>
              <w:rPr>
                <w:rFonts w:ascii="Calibri" w:cs="Calibri" w:eastAsia="Calibri" w:hAnsi="Calibri"/>
                <w:b/>
                <w:bCs/>
                <w:color w:val="2563EB"/>
                <w:sz w:val="44"/>
                <w:szCs w:val="44"/>
              </w:rPr>
              <w:t xml:space="preserve">3</w:t>
            </w:r>
          </w:p>
          <w:p>
            <w:pPr>
              <w:spacing w:after="160"/>
              <w:jc w:val="center"/>
            </w:pPr>
            <w:r>
              <w:rPr>
                <w:rFonts w:ascii="Calibri" w:cs="Calibri" w:eastAsia="Calibri" w:hAnsi="Calibri"/>
                <w:color w:val="6B7280"/>
                <w:sz w:val="16"/>
                <w:szCs w:val="16"/>
              </w:rPr>
              <w:t xml:space="preserve">MÀN HÌNH</w:t>
            </w:r>
          </w:p>
        </w:tc>
        <w:tc>
          <w:tcPr>
            <w:tcW w:type="dxa" w:w="2412"/>
            <w:tcBorders>
              <w:top w:val="none" w:sz="0"/>
              <w:left w:val="single" w:color="FFFFFF" w:sz="1"/>
              <w:bottom w:val="single" w:color="7C3AED" w:sz="4"/>
              <w:right w:val="single" w:color="FFFFFF" w:sz="1"/>
            </w:tcBorders>
            <w:shd w:fill="F9FAFB" w:color="F9FAFB" w:val="solid"/>
            <w:vAlign w:val="center"/>
          </w:tcPr>
          <w:p>
            <w:pPr>
              <w:spacing w:after="40" w:before="160"/>
              <w:jc w:val="center"/>
            </w:pPr>
            <w:r>
              <w:rPr>
                <w:rFonts w:ascii="Calibri" w:cs="Calibri" w:eastAsia="Calibri" w:hAnsi="Calibri"/>
                <w:b/>
                <w:bCs/>
                <w:color w:val="7C3AED"/>
                <w:sz w:val="44"/>
                <w:szCs w:val="44"/>
              </w:rPr>
              <w:t xml:space="preserve">50</w:t>
            </w:r>
          </w:p>
          <w:p>
            <w:pPr>
              <w:spacing w:after="160"/>
              <w:jc w:val="center"/>
            </w:pPr>
            <w:r>
              <w:rPr>
                <w:rFonts w:ascii="Calibri" w:cs="Calibri" w:eastAsia="Calibri" w:hAnsi="Calibri"/>
                <w:color w:val="6B7280"/>
                <w:sz w:val="16"/>
                <w:szCs w:val="16"/>
              </w:rPr>
              <w:t xml:space="preserve">CHECKS</w:t>
            </w:r>
          </w:p>
        </w:tc>
        <w:tc>
          <w:tcPr>
            <w:tcW w:type="dxa" w:w="2412"/>
            <w:tcBorders>
              <w:top w:val="none" w:sz="0"/>
              <w:left w:val="single" w:color="FFFFFF" w:sz="1"/>
              <w:bottom w:val="single" w:color="DC2626" w:sz="4"/>
              <w:right w:val="single" w:color="FFFFFF" w:sz="1"/>
            </w:tcBorders>
            <w:shd w:fill="F9FAFB" w:color="F9FAFB" w:val="solid"/>
            <w:vAlign w:val="center"/>
          </w:tcPr>
          <w:p>
            <w:pPr>
              <w:spacing w:after="40" w:before="160"/>
              <w:jc w:val="center"/>
            </w:pPr>
            <w:r>
              <w:rPr>
                <w:rFonts w:ascii="Calibri" w:cs="Calibri" w:eastAsia="Calibri" w:hAnsi="Calibri"/>
                <w:b/>
                <w:bCs/>
                <w:color w:val="DC2626"/>
                <w:sz w:val="44"/>
                <w:szCs w:val="44"/>
              </w:rPr>
              <w:t xml:space="preserve">8</w:t>
            </w:r>
          </w:p>
          <w:p>
            <w:pPr>
              <w:spacing w:after="160"/>
              <w:jc w:val="center"/>
            </w:pPr>
            <w:r>
              <w:rPr>
                <w:rFonts w:ascii="Calibri" w:cs="Calibri" w:eastAsia="Calibri" w:hAnsi="Calibri"/>
                <w:color w:val="6B7280"/>
                <w:sz w:val="16"/>
                <w:szCs w:val="16"/>
              </w:rPr>
              <w:t xml:space="preserve">FINDINGS</w:t>
            </w:r>
          </w:p>
        </w:tc>
      </w:tr>
    </w:tbl>
    <w:p>
      <w:pPr>
        <w:spacing w:after="320" w:before="32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02  </w:t>
      </w:r>
      <w:r>
        <w:rPr>
          <w:rFonts w:ascii="Calibri" w:cs="Calibri" w:eastAsia="Calibri" w:hAnsi="Calibri"/>
          <w:b/>
          <w:bCs/>
          <w:color w:val="D97706"/>
          <w:sz w:val="20"/>
          <w:szCs w:val="20"/>
        </w:rPr>
        <w:t xml:space="preserve">PHƯƠNG PHÁP ĐÁNH GIÁ</w:t>
      </w:r>
    </w:p>
    <w:p>
      <w:pPr>
        <w:spacing w:after="200"/>
      </w:pPr>
      <w:r>
        <w:rPr>
          <w:rFonts w:ascii="Calibri" w:cs="Calibri" w:eastAsia="Calibri" w:hAnsi="Calibri"/>
          <w:b/>
          <w:bCs/>
          <w:color w:val="111827"/>
          <w:sz w:val="36"/>
          <w:szCs w:val="36"/>
        </w:rPr>
        <w:t xml:space="preserve">Phương pháp đánh giá</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Heuristic Evaluation</w:t>
      </w:r>
    </w:p>
    <w:p>
      <w:pPr>
        <w:spacing w:after="160"/>
        <w:ind w:left="288"/>
      </w:pPr>
      <w:r>
        <w:rPr>
          <w:rFonts w:ascii="Calibri" w:cs="Calibri" w:eastAsia="Calibri" w:hAnsi="Calibri"/>
          <w:color w:val="6B7280"/>
          <w:sz w:val="19"/>
          <w:szCs w:val="19"/>
        </w:rPr>
        <w:t xml:space="preserve">Đánh giá theo 10 heuristics của Nielsen Norman Group. Kiểm tra visibility, consistency, error prevention, recognition.</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Component Spec Analysis</w:t>
      </w:r>
    </w:p>
    <w:p>
      <w:pPr>
        <w:spacing w:after="160"/>
        <w:ind w:left="288"/>
      </w:pPr>
      <w:r>
        <w:rPr>
          <w:rFonts w:ascii="Calibri" w:cs="Calibri" w:eastAsia="Calibri" w:hAnsi="Calibri"/>
          <w:color w:val="6B7280"/>
          <w:sz w:val="19"/>
          <w:szCs w:val="19"/>
        </w:rPr>
        <w:t xml:space="preserve">Cross-reference với DDL component specs (OTP input, text input, receipt preview). Kiểm tra state coverage và missing states.</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Vision Inspection</w:t>
      </w:r>
    </w:p>
    <w:p>
      <w:pPr>
        <w:spacing w:after="160"/>
        <w:ind w:left="288"/>
      </w:pPr>
      <w:r>
        <w:rPr>
          <w:rFonts w:ascii="Calibri" w:cs="Calibri" w:eastAsia="Calibri" w:hAnsi="Calibri"/>
          <w:color w:val="6B7280"/>
          <w:sz w:val="19"/>
          <w:szCs w:val="19"/>
        </w:rPr>
        <w:t xml:space="preserve">Phân tích trực tiếp wireframe screenshots. Phát hiện inconsistency, truncation, contrast, spacing issues.</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UX Law Cross-Reference</w:t>
      </w:r>
    </w:p>
    <w:p>
      <w:pPr>
        <w:spacing w:after="160"/>
        <w:ind w:left="288"/>
      </w:pPr>
      <w:r>
        <w:rPr>
          <w:rFonts w:ascii="Calibri" w:cs="Calibri" w:eastAsia="Calibri" w:hAnsi="Calibri"/>
          <w:color w:val="6B7280"/>
          <w:sz w:val="19"/>
          <w:szCs w:val="19"/>
        </w:rPr>
        <w:t xml:space="preserve">Áp dụng Fitts's Law, Hick's Law, Peak-End Rule. 7 auto-triggered laws trên 3 màn hình.</w:t>
      </w:r>
    </w:p>
    <w:p>
      <w:pPr>
        <w:spacing w:after="160" w:before="16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03  </w:t>
      </w:r>
      <w:r>
        <w:rPr>
          <w:rFonts w:ascii="Calibri" w:cs="Calibri" w:eastAsia="Calibri" w:hAnsi="Calibri"/>
          <w:b/>
          <w:bCs/>
          <w:color w:val="D97706"/>
          <w:sz w:val="20"/>
          <w:szCs w:val="20"/>
        </w:rPr>
        <w:t xml:space="preserve">CHI TIẾT PHÁT HIỆN</w:t>
      </w:r>
    </w:p>
    <w:p>
      <w:pPr>
        <w:spacing w:after="200"/>
      </w:pPr>
      <w:r>
        <w:rPr>
          <w:rFonts w:ascii="Calibri" w:cs="Calibri" w:eastAsia="Calibri" w:hAnsi="Calibri"/>
          <w:b/>
          <w:bCs/>
          <w:color w:val="111827"/>
          <w:sz w:val="36"/>
          <w:szCs w:val="36"/>
        </w:rPr>
        <w:t xml:space="preserve">Chi tiết phát hiện</w:t>
      </w:r>
    </w:p>
    <w:p>
      <w:pPr>
        <w:spacing w:after="240"/>
      </w:pPr>
      <w:r>
        <w:rPr>
          <w:rFonts w:ascii="Calibri" w:cs="Calibri" w:eastAsia="Calibri" w:hAnsi="Calibri"/>
          <w:color w:val="6B7280"/>
          <w:sz w:val="21"/>
          <w:szCs w:val="21"/>
        </w:rPr>
        <w:t xml:space="preserve">8 vấn đề được xác định, sắp xếp theo mức độ ảnh hưởng</w:t>
      </w:r>
    </w:p>
    <w:p>
      <w:pPr>
        <w:pBdr>
          <w:top w:val="single" w:color="DC2626" w:sz="8"/>
        </w:pBdr>
        <w:spacing w:after="0" w:before="300"/>
      </w:pPr>
    </w:p>
    <w:p>
      <w:pPr>
        <w:spacing w:after="80" w:before="80"/>
      </w:pPr>
      <w:r>
        <w:rPr>
          <w:rFonts w:ascii="Consolas" w:cs="Consolas" w:eastAsia="Consolas" w:hAnsi="Consolas"/>
          <w:color w:val="6B7280"/>
          <w:sz w:val="18"/>
          <w:szCs w:val="18"/>
        </w:rPr>
        <w:t xml:space="preserve">UXP-001</w:t>
      </w:r>
      <w:r>
        <w:rPr>
          <w:rFonts w:ascii="Calibri" w:cs="Calibri" w:eastAsia="Calibri" w:hAnsi="Calibri"/>
          <w:sz w:val="18"/>
          <w:szCs w:val="18"/>
        </w:rPr>
        <w:t xml:space="preserve">   </w:t>
      </w:r>
      <w:r>
        <w:rPr>
          <w:rFonts w:ascii="Calibri" w:cs="Calibri" w:eastAsia="Calibri" w:hAnsi="Calibri"/>
          <w:b/>
          <w:bCs/>
          <w:color w:val="B91C1C"/>
          <w:sz w:val="16"/>
          <w:szCs w:val="16"/>
          <w:shd w:fill="FEE2E2" w:color="FEE2E2" w:val="solid"/>
        </w:rPr>
        <w:t xml:space="preserve"> CRITICAL </w:t>
      </w:r>
    </w:p>
    <w:p>
      <w:pPr>
        <w:spacing w:after="160"/>
      </w:pPr>
      <w:r>
        <w:rPr>
          <w:rFonts w:ascii="Calibri" w:cs="Calibri" w:eastAsia="Calibri" w:hAnsi="Calibri"/>
          <w:b/>
          <w:bCs/>
          <w:color w:val="111827"/>
          <w:sz w:val="24"/>
          <w:szCs w:val="24"/>
        </w:rPr>
        <w:t xml:space="preserve">Thiếu nút gửi lại mã OTP và đếm ngược thời gian</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Thiếu nút gửi lại mã OTP</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Giao diện xác thực OTP chỉ hiển thị 6 ô nhập tĩnh và nút "Xác nhận". Không có nút "Gửi lại mã" hay bộ đếm ngược — vi phạm component spec OTP tiêu chuẩn.</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Nếu mã OTP không đến (chậm mạng, SMS nghẽn), người dùng bị kẹt và phải thoát ứng dụng làm lại từ đầu</w:t>
      </w:r>
    </w:p>
    <w:p>
      <w:pPr>
        <w:spacing w:after="20" w:before="20"/>
        <w:ind w:left="288"/>
      </w:pPr>
      <w:r>
        <w:rPr>
          <w:rFonts w:ascii="Calibri" w:cs="Calibri" w:eastAsia="Calibri" w:hAnsi="Calibri"/>
          <w:color w:val="374151"/>
          <w:sz w:val="19"/>
          <w:szCs w:val="19"/>
        </w:rPr>
        <w:t xml:space="preserve">• Tỷ lệ bỏ dở giao dịch tại bước xác thực tăng cao</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User Control &amp; Freedom (Nielsen #3) — Người dùng không có lối thoát khi OTP không đến. Error Recovery (Nielsen #9) — Không có cơ chế khắc phục khi xảy ra lỗi gửi mã.</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Bổ sung cơ chế gửi lại OTP</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nút "Gửi lại mã OTP" (tắt trong 60 giây đầu)</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bộ đếm ngược "Gửi lại sau 00:45"</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Highlight ô đang nhập với viền focus</w:t>
      </w:r>
    </w:p>
    <w:p>
      <w:pPr>
        <w:spacing w:after="40" w:before="100"/>
      </w:pPr>
      <w:r>
        <w:rPr>
          <w:rFonts w:ascii="Calibri" w:cs="Calibri" w:eastAsia="Calibri" w:hAnsi="Calibri"/>
          <w:color w:val="2563EB"/>
          <w:sz w:val="17"/>
          <w:szCs w:val="17"/>
        </w:rPr>
        <w:t xml:space="preserve">#Xác nhận giao dịch</w:t>
      </w:r>
      <w:r>
        <w:rPr>
          <w:rFonts w:ascii="Calibri" w:cs="Calibri" w:eastAsia="Calibri" w:hAnsi="Calibri"/>
          <w:color w:val="2563EB"/>
          <w:sz w:val="17"/>
          <w:szCs w:val="17"/>
        </w:rPr>
        <w:t xml:space="preserve">   #OTP</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COMP:otp-input-1 (states: canResend, timeLeft, activeIndex)UX Law: Doherty Threshold — phản hồi trong 400msUXG-184: Keyboard Navigation</w:t>
      </w:r>
    </w:p>
    <w:p>
      <w:pPr>
        <w:spacing w:after="80" w:before="80"/>
      </w:pPr>
    </w:p>
    <w:p>
      <w:pPr>
        <w:pBdr>
          <w:top w:val="single" w:color="DC2626" w:sz="8"/>
        </w:pBdr>
        <w:spacing w:after="0" w:before="300"/>
      </w:pPr>
    </w:p>
    <w:p>
      <w:pPr>
        <w:spacing w:after="80" w:before="80"/>
      </w:pPr>
      <w:r>
        <w:rPr>
          <w:rFonts w:ascii="Consolas" w:cs="Consolas" w:eastAsia="Consolas" w:hAnsi="Consolas"/>
          <w:color w:val="6B7280"/>
          <w:sz w:val="18"/>
          <w:szCs w:val="18"/>
        </w:rPr>
        <w:t xml:space="preserve">UXP-002</w:t>
      </w:r>
      <w:r>
        <w:rPr>
          <w:rFonts w:ascii="Calibri" w:cs="Calibri" w:eastAsia="Calibri" w:hAnsi="Calibri"/>
          <w:sz w:val="18"/>
          <w:szCs w:val="18"/>
        </w:rPr>
        <w:t xml:space="preserve">   </w:t>
      </w:r>
      <w:r>
        <w:rPr>
          <w:rFonts w:ascii="Calibri" w:cs="Calibri" w:eastAsia="Calibri" w:hAnsi="Calibri"/>
          <w:b/>
          <w:bCs/>
          <w:color w:val="B91C1C"/>
          <w:sz w:val="16"/>
          <w:szCs w:val="16"/>
          <w:shd w:fill="FEE2E2" w:color="FEE2E2" w:val="solid"/>
        </w:rPr>
        <w:t xml:space="preserve"> CRITICAL </w:t>
      </w:r>
    </w:p>
    <w:p>
      <w:pPr>
        <w:spacing w:after="160"/>
      </w:pPr>
      <w:r>
        <w:rPr>
          <w:rFonts w:ascii="Calibri" w:cs="Calibri" w:eastAsia="Calibri" w:hAnsi="Calibri"/>
          <w:b/>
          <w:bCs/>
          <w:color w:val="111827"/>
          <w:sz w:val="24"/>
          <w:szCs w:val="24"/>
        </w:rPr>
        <w:t xml:space="preserve">Thiếu hiển thị số tiền bằng chữ trên form nhập liệu</w:t>
      </w:r>
    </w:p>
    <w:p>
      <w:pPr>
        <w:spacing w:after="40" w:before="80"/>
        <w:jc w:val="center"/>
      </w:pPr>
      <w:r>
        <w:drawing>
          <wp:inline distT="0" distB="0" distL="0" distR="0">
            <wp:extent cx="14287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18147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Thiếu số tiền bằng chữ</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Trường "Số tiền" trên form chỉ hiển thị giá trị số (300,000) và đơn vị tiền tệ (VND). Không có dòng chữ viết thể hiện số tiền. Dòng chữ viết chỉ xuất hiện ở màn Xác nhận ("Hai mươi triệu đồng").</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có thể nhập sai số tiền (nhầm số 0) mà không phát hiện sớm</w:t>
      </w:r>
    </w:p>
    <w:p>
      <w:pPr>
        <w:spacing w:after="20" w:before="20"/>
        <w:ind w:left="288"/>
      </w:pPr>
      <w:r>
        <w:rPr>
          <w:rFonts w:ascii="Calibri" w:cs="Calibri" w:eastAsia="Calibri" w:hAnsi="Calibri"/>
          <w:color w:val="374151"/>
          <w:sz w:val="19"/>
          <w:szCs w:val="19"/>
        </w:rPr>
        <w:t xml:space="preserve">• Giao dịch sai số tiền dẫn đến yêu cầu hoàn tiền, khiếu nại</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Error Prevention (Nielsen #5) — Không có cơ chế xác nhận trực quan để ngăn lỗi nhập sai số tiền tại thời điểm nhập.</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dòng chữ viết số tiền theo thời gian thực</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Hiển thị dòng "Ba trăm nghìn đồng" ngay dưới ô nhập số tiền</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Cập nhật real-time khi người dùng thay đổi con số</w:t>
      </w:r>
    </w:p>
    <w:p>
      <w:pPr>
        <w:spacing w:after="40" w:before="100"/>
      </w:pPr>
      <w:r>
        <w:rPr>
          <w:rFonts w:ascii="Calibri" w:cs="Calibri" w:eastAsia="Calibri" w:hAnsi="Calibri"/>
          <w:color w:val="2563EB"/>
          <w:sz w:val="17"/>
          <w:szCs w:val="17"/>
        </w:rPr>
        <w:t xml:space="preserve">#Form nhập thông tin</w:t>
      </w:r>
      <w:r>
        <w:rPr>
          <w:rFonts w:ascii="Calibri" w:cs="Calibri" w:eastAsia="Calibri" w:hAnsi="Calibri"/>
          <w:color w:val="2563EB"/>
          <w:sz w:val="17"/>
          <w:szCs w:val="17"/>
        </w:rPr>
        <w:t xml:space="preserve">   #Số tiền</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UXG-165 (Input Validation — real-time feedback)UXG-243 (Amount confirmation)Banking best practice: amount text representation</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UXP-003</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Nút "Tiếp tục" bị đẩy khỏi vùng hiển thị khi bật đặt lịch</w:t>
      </w:r>
    </w:p>
    <w:p>
      <w:pPr>
        <w:spacing w:after="40" w:before="80"/>
        <w:jc w:val="center"/>
      </w:pPr>
      <w:r>
        <w:drawing>
          <wp:inline distT="0" distB="0" distL="0" distR="0">
            <wp:extent cx="14287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18147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Nút hành động bị ẩn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Khi person dùng bật chế độ đặt lịch, form mở rộng xuống 1098px (vượt viewport thiết bị 812px). Nút "Tiếp tục" bị đẩy ra khỏi màn hình — người dùng phải cuộn xuống để tìm.</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điền xong thông tin nhưng không thấy nút hành động → hoang mang, bỏ dở</w:t>
      </w:r>
    </w:p>
    <w:p>
      <w:pPr>
        <w:spacing w:after="20" w:before="20"/>
        <w:ind w:left="288"/>
      </w:pPr>
      <w:r>
        <w:rPr>
          <w:rFonts w:ascii="Calibri" w:cs="Calibri" w:eastAsia="Calibri" w:hAnsi="Calibri"/>
          <w:color w:val="374151"/>
          <w:sz w:val="19"/>
          <w:szCs w:val="19"/>
        </w:rPr>
        <w:t xml:space="preserve">• Giảm tỷ lệ hoàn thành giao dịch</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Visibility of System Status (Nielsen #1) — Nút hành động chính không nằm trong vùng nhìn thấy. Fitts's Law — Khoảng cách đến mục tiêu quá xa.</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Cố định nút hành động ở cuối màn hình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Chuyển nút "Tiếp tục" sang sticky footer — luôn hiển thị dù cuộn form</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bóng đổ phía trên để phân tách với nội dung</w:t>
      </w:r>
    </w:p>
    <w:p>
      <w:pPr>
        <w:spacing w:after="40" w:before="100"/>
      </w:pPr>
      <w:r>
        <w:rPr>
          <w:rFonts w:ascii="Calibri" w:cs="Calibri" w:eastAsia="Calibri" w:hAnsi="Calibri"/>
          <w:color w:val="2563EB"/>
          <w:sz w:val="17"/>
          <w:szCs w:val="17"/>
        </w:rPr>
        <w:t xml:space="preserve">#Form nhập thông tin</w:t>
      </w:r>
      <w:r>
        <w:rPr>
          <w:rFonts w:ascii="Calibri" w:cs="Calibri" w:eastAsia="Calibri" w:hAnsi="Calibri"/>
          <w:color w:val="2563EB"/>
          <w:sz w:val="17"/>
          <w:szCs w:val="17"/>
        </w:rPr>
        <w:t xml:space="preserve">   #Đặt lịch</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UXG-180 (CTA visibility)UX Law: Fitts's Law — touch targets &amp; distanceArtboard 59:20803 height=1098px vs viewport 812px</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UXP-004</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Số tiền trên tiêu đề và chi tiết trong biên nhận không khớp</w:t>
      </w:r>
    </w:p>
    <w:p>
      <w:pPr>
        <w:spacing w:after="40" w:before="80"/>
        <w:jc w:val="center"/>
      </w:pPr>
      <w:r>
        <w:drawing>
          <wp:inline distT="0" distB="0" distL="0" distR="0">
            <wp:extent cx="142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371850"/>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Số tiền không nhất quán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Phần tiêu đề thẻ biên nhận hiển thị "50,000 VND" nhưng phần chi tiết bên dưới ghi "Số tiền: 20,000,000 VND". Hai con số mâu thuẫn gây hoang mang.</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không biết số tiền thực tế là bao nhiêu → mất niềm tin vào hệ thống</w:t>
      </w:r>
    </w:p>
    <w:p>
      <w:pPr>
        <w:spacing w:after="20" w:before="20"/>
        <w:ind w:left="288"/>
      </w:pPr>
      <w:r>
        <w:rPr>
          <w:rFonts w:ascii="Calibri" w:cs="Calibri" w:eastAsia="Calibri" w:hAnsi="Calibri"/>
          <w:color w:val="374151"/>
          <w:sz w:val="19"/>
          <w:szCs w:val="19"/>
        </w:rPr>
        <w:t xml:space="preserve">• Ấn tượng cuối cùng (Peak-End Rule) tiêu cực</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Consistency &amp; Standards (Nielsen #4) — Cùng một thuộc tính (số tiền) hiển thị hai giá trị khác nhau trên cùng màn hình.</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Đồng bộ dữ liệu số tiền</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Số tiền tiêu đề phải lấy cùng nguồn với chi tiết</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dòng chữ viết dưới số tiền tiêu đề</w:t>
      </w:r>
    </w:p>
    <w:p>
      <w:pPr>
        <w:spacing w:after="40" w:before="100"/>
      </w:pPr>
      <w:r>
        <w:rPr>
          <w:rFonts w:ascii="Calibri" w:cs="Calibri" w:eastAsia="Calibri" w:hAnsi="Calibri"/>
          <w:color w:val="2563EB"/>
          <w:sz w:val="17"/>
          <w:szCs w:val="17"/>
        </w:rPr>
        <w:t xml:space="preserve">#Kết quả giao dịch</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UXG-165 (Data consistency)UX Law: Peak-End Rule — negative final impression</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UXP-005</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Dropdown phương thức xác thực chỉ có một lựa chọn duy nhất</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Dropdown 1 lựa chọn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Dropdown "Chọn phương thức xác thực" hiển thị "SMS OTP" là lựa chọn duy nhất. Giao diện dropdown gợi ý có nhiều tùy chọn nhưng thực tế chỉ có một.</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nhấn vào dropdown mong đợi có nhiều lựa chọn → thất vọng khi chỉ thấy một</w:t>
      </w:r>
    </w:p>
    <w:p>
      <w:pPr>
        <w:spacing w:after="20" w:before="20"/>
        <w:ind w:left="288"/>
      </w:pPr>
      <w:r>
        <w:rPr>
          <w:rFonts w:ascii="Calibri" w:cs="Calibri" w:eastAsia="Calibri" w:hAnsi="Calibri"/>
          <w:color w:val="374151"/>
          <w:sz w:val="19"/>
          <w:szCs w:val="19"/>
        </w:rPr>
        <w:t xml:space="preserve">• Thêm một bước tương tác không cần thiết → tăng thời gian hoàn thành</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Aesthetic &amp; Minimalist Design (Nielsen #8) — Hiển thị dropdown khi không có lựa chọn thực sự. Hick's Law — Điểm quyết định không cần thiết.</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Hiển thị tĩnh khi chỉ có một phương thức</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Nếu chỉ 1 phương thức: hiển thị dạng text tĩnh "Xác thực bằng SMS OTP"</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Nếu có từ 2 phương thức trở lên: giữ dropdown</w:t>
      </w:r>
    </w:p>
    <w:p>
      <w:pPr>
        <w:spacing w:after="40" w:before="100"/>
      </w:pPr>
      <w:r>
        <w:rPr>
          <w:rFonts w:ascii="Calibri" w:cs="Calibri" w:eastAsia="Calibri" w:hAnsi="Calibri"/>
          <w:color w:val="2563EB"/>
          <w:sz w:val="17"/>
          <w:szCs w:val="17"/>
        </w:rPr>
        <w:t xml:space="preserve">#Xác nhận giao dịch</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UXG-183 (ARIA Labels)UX Law: Hick's Law — unnecessary decision point</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UXP-006</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Lỗi chính tả trên banner hướng dẫn</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Lỗi chính tả</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Banner thông tin ghi "Qúy khách" thay vì "Quý khách" — lỗi dấu thanh tiếng Việt.</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Giảm cảm nhận chuyên nghiệp của ứng dụng</w:t>
      </w:r>
    </w:p>
    <w:p>
      <w:pPr>
        <w:spacing w:after="20" w:before="20"/>
        <w:ind w:left="288"/>
      </w:pPr>
      <w:r>
        <w:rPr>
          <w:rFonts w:ascii="Calibri" w:cs="Calibri" w:eastAsia="Calibri" w:hAnsi="Calibri"/>
          <w:color w:val="374151"/>
          <w:sz w:val="19"/>
          <w:szCs w:val="19"/>
        </w:rPr>
        <w:t xml:space="preserve">• Người dùng Việt Nam nhạy cảm với lỗi chính tả</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Consistency &amp; Standards (Nielsen #4) — Lỗi nội dung ảnh hưởng đến uy tín thương hiệu.</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Sửa chính tả</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Sửa "Qúy khách" → "Quý khách"</w:t>
      </w:r>
    </w:p>
    <w:p>
      <w:pPr>
        <w:spacing w:after="40" w:before="100"/>
      </w:pPr>
      <w:r>
        <w:rPr>
          <w:rFonts w:ascii="Calibri" w:cs="Calibri" w:eastAsia="Calibri" w:hAnsi="Calibri"/>
          <w:color w:val="2563EB"/>
          <w:sz w:val="17"/>
          <w:szCs w:val="17"/>
        </w:rPr>
        <w:t xml:space="preserve">#Xác nhận giao dịch</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UXG-165 (Content accuracy)</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UXP-007</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Nội dung giao dịch tự điền thiếu nhãn gợi ý</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Nội dung tự điền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Nội dung giao dịch được tự điền dạng không dấu: "NGUYEN HOANG KHAI chuyen tien". Người dùng có thể không nhận ra đây là giá trị tự tạo và có thể chỉnh sửa.</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nhãn "[Tự động]"</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Gắn nhãn gợi ý người dùng biết nội dung có thể chỉnh sửa</w:t>
      </w:r>
    </w:p>
    <w:p>
      <w:pPr>
        <w:spacing w:after="40" w:before="100"/>
      </w:pPr>
      <w:r>
        <w:rPr>
          <w:rFonts w:ascii="Calibri" w:cs="Calibri" w:eastAsia="Calibri" w:hAnsi="Calibri"/>
          <w:color w:val="2563EB"/>
          <w:sz w:val="17"/>
          <w:szCs w:val="17"/>
        </w:rPr>
        <w:t xml:space="preserve">#Form nhập thông tin</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UXG-181 (Alt Text — meaningful labels)</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UXP-008</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Biên nhận giao dịch không hiển thị phí và thuế</w:t>
      </w:r>
    </w:p>
    <w:p>
      <w:pPr>
        <w:spacing w:after="40" w:before="80"/>
        <w:jc w:val="center"/>
      </w:pPr>
      <w:r>
        <w:drawing>
          <wp:inline distT="0" distB="0" distL="0" distR="0">
            <wp:extent cx="142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371850"/>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Thiếu thông tin phí</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Biên nhận kết quả giao dịch không hiển thị phí giao dịch cụ thể và thuế giá trị gia tăng. Người dùng chỉ được thông báo "Phí theo quy định" ở form nhập mà không biết con số cụ thể.</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Thiếu minh bạch về chi phí → giảm niềm tin</w:t>
      </w:r>
    </w:p>
    <w:p>
      <w:pPr>
        <w:spacing w:after="20" w:before="20"/>
        <w:ind w:left="288"/>
      </w:pPr>
      <w:r>
        <w:rPr>
          <w:rFonts w:ascii="Calibri" w:cs="Calibri" w:eastAsia="Calibri" w:hAnsi="Calibri"/>
          <w:color w:val="374151"/>
          <w:sz w:val="19"/>
          <w:szCs w:val="19"/>
        </w:rPr>
        <w:t xml:space="preserve">• Người dùng phải kiểm tra lại qua kênh khác</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Hiển thị thông tin phí trên biên nhận</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dòng "Phí giao dịch: X VND" và "Thuế giá trị gia tăng: Y VND"</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Đảm bảo dữ liệu mẫu nhất quán về thời gian</w:t>
      </w:r>
    </w:p>
    <w:p>
      <w:pPr>
        <w:spacing w:after="40" w:before="100"/>
      </w:pPr>
      <w:r>
        <w:rPr>
          <w:rFonts w:ascii="Calibri" w:cs="Calibri" w:eastAsia="Calibri" w:hAnsi="Calibri"/>
          <w:color w:val="2563EB"/>
          <w:sz w:val="17"/>
          <w:szCs w:val="17"/>
        </w:rPr>
        <w:t xml:space="preserve">#Kết quả giao dịch</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UXG-235 (Disclaimer/Transparency)UX Law: Peak-End Rule</w:t>
      </w:r>
    </w:p>
    <w:p>
      <w:pPr>
        <w:spacing w:after="80" w:before="8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04  </w:t>
      </w:r>
      <w:r>
        <w:rPr>
          <w:rFonts w:ascii="Calibri" w:cs="Calibri" w:eastAsia="Calibri" w:hAnsi="Calibri"/>
          <w:b/>
          <w:bCs/>
          <w:color w:val="D97706"/>
          <w:sz w:val="20"/>
          <w:szCs w:val="20"/>
        </w:rPr>
        <w:t xml:space="preserve">HEURISTIC SCORECARD</w:t>
      </w:r>
    </w:p>
    <w:p>
      <w:pPr>
        <w:spacing w:after="200"/>
      </w:pPr>
      <w:r>
        <w:rPr>
          <w:rFonts w:ascii="Calibri" w:cs="Calibri" w:eastAsia="Calibri" w:hAnsi="Calibri"/>
          <w:b/>
          <w:bCs/>
          <w:color w:val="111827"/>
          <w:sz w:val="36"/>
          <w:szCs w:val="36"/>
        </w:rPr>
        <w:t xml:space="preserve">Heuristic Scorecard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12"/>
            <w:tcBorders>
              <w:top w:val="single" w:color="16A34A"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16A34A"/>
                <w:sz w:val="40"/>
                <w:szCs w:val="40"/>
              </w:rPr>
              <w:t xml:space="preserve">85%</w:t>
            </w:r>
          </w:p>
          <w:p>
            <w:pPr>
              <w:spacing w:after="40"/>
              <w:jc w:val="center"/>
            </w:pPr>
            <w:r>
              <w:rPr>
                <w:rFonts w:ascii="Calibri" w:cs="Calibri" w:eastAsia="Calibri" w:hAnsi="Calibri"/>
                <w:color w:val="374151"/>
                <w:sz w:val="20"/>
                <w:szCs w:val="20"/>
              </w:rPr>
              <w:t xml:space="preserve">Form nhập thông tin</w:t>
            </w:r>
          </w:p>
          <w:p>
            <w:pPr>
              <w:spacing w:after="160"/>
              <w:jc w:val="center"/>
            </w:pPr>
            <w:r>
              <w:rPr>
                <w:rFonts w:ascii="Calibri" w:cs="Calibri" w:eastAsia="Calibri" w:hAnsi="Calibri"/>
                <w:color w:val="9CA3AF"/>
                <w:sz w:val="16"/>
                <w:szCs w:val="16"/>
              </w:rPr>
              <w:t xml:space="preserve">17 pass · 3 gap</w:t>
            </w:r>
          </w:p>
        </w:tc>
        <w:tc>
          <w:tcPr>
            <w:tcW w:type="dxa" w:w="2412"/>
            <w:tcBorders>
              <w:top w:val="single" w:color="D97706"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D97706"/>
                <w:sz w:val="40"/>
                <w:szCs w:val="40"/>
              </w:rPr>
              <w:t xml:space="preserve">71%</w:t>
            </w:r>
          </w:p>
          <w:p>
            <w:pPr>
              <w:spacing w:after="40"/>
              <w:jc w:val="center"/>
            </w:pPr>
            <w:r>
              <w:rPr>
                <w:rFonts w:ascii="Calibri" w:cs="Calibri" w:eastAsia="Calibri" w:hAnsi="Calibri"/>
                <w:color w:val="374151"/>
                <w:sz w:val="20"/>
                <w:szCs w:val="20"/>
              </w:rPr>
              <w:t xml:space="preserve">Xác nhận giao dịch</w:t>
            </w:r>
          </w:p>
          <w:p>
            <w:pPr>
              <w:spacing w:after="160"/>
              <w:jc w:val="center"/>
            </w:pPr>
            <w:r>
              <w:rPr>
                <w:rFonts w:ascii="Calibri" w:cs="Calibri" w:eastAsia="Calibri" w:hAnsi="Calibri"/>
                <w:color w:val="9CA3AF"/>
                <w:sz w:val="16"/>
                <w:szCs w:val="16"/>
              </w:rPr>
              <w:t xml:space="preserve">10 pass · 4 gap</w:t>
            </w:r>
          </w:p>
        </w:tc>
        <w:tc>
          <w:tcPr>
            <w:tcW w:type="dxa" w:w="2412"/>
            <w:tcBorders>
              <w:top w:val="single" w:color="D97706"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D97706"/>
                <w:sz w:val="40"/>
                <w:szCs w:val="40"/>
              </w:rPr>
              <w:t xml:space="preserve">77%</w:t>
            </w:r>
          </w:p>
          <w:p>
            <w:pPr>
              <w:spacing w:after="40"/>
              <w:jc w:val="center"/>
            </w:pPr>
            <w:r>
              <w:rPr>
                <w:rFonts w:ascii="Calibri" w:cs="Calibri" w:eastAsia="Calibri" w:hAnsi="Calibri"/>
                <w:color w:val="374151"/>
                <w:sz w:val="20"/>
                <w:szCs w:val="20"/>
              </w:rPr>
              <w:t xml:space="preserve">Kết quả giao dịch</w:t>
            </w:r>
          </w:p>
          <w:p>
            <w:pPr>
              <w:spacing w:after="160"/>
              <w:jc w:val="center"/>
            </w:pPr>
            <w:r>
              <w:rPr>
                <w:rFonts w:ascii="Calibri" w:cs="Calibri" w:eastAsia="Calibri" w:hAnsi="Calibri"/>
                <w:color w:val="9CA3AF"/>
                <w:sz w:val="16"/>
                <w:szCs w:val="16"/>
              </w:rPr>
              <w:t xml:space="preserve">10 pass · 3 gap</w:t>
            </w:r>
          </w:p>
        </w:tc>
        <w:tc>
          <w:tcPr>
            <w:tcW w:type="dxa" w:w="2412"/>
            <w:tcBorders>
              <w:top w:val="single" w:color="D97706"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D97706"/>
                <w:sz w:val="40"/>
                <w:szCs w:val="40"/>
              </w:rPr>
              <w:t xml:space="preserve">78%</w:t>
            </w:r>
          </w:p>
          <w:p>
            <w:pPr>
              <w:spacing w:after="40"/>
              <w:jc w:val="center"/>
            </w:pPr>
            <w:r>
              <w:rPr>
                <w:rFonts w:ascii="Calibri" w:cs="Calibri" w:eastAsia="Calibri" w:hAnsi="Calibri"/>
                <w:color w:val="374151"/>
                <w:sz w:val="20"/>
                <w:szCs w:val="20"/>
              </w:rPr>
              <w:t xml:space="preserve">Tổng thể UX Score</w:t>
            </w:r>
          </w:p>
          <w:p>
            <w:pPr>
              <w:spacing w:after="160"/>
              <w:jc w:val="center"/>
            </w:pPr>
            <w:r>
              <w:rPr>
                <w:rFonts w:ascii="Calibri" w:cs="Calibri" w:eastAsia="Calibri" w:hAnsi="Calibri"/>
                <w:color w:val="9CA3AF"/>
                <w:sz w:val="16"/>
                <w:szCs w:val="16"/>
              </w:rPr>
              <w:t xml:space="preserve">37 pass · 10 gap · 3 unv.</w:t>
            </w:r>
          </w:p>
        </w:tc>
      </w:tr>
    </w:tbl>
    <w:p>
      <w:pPr>
        <w:spacing w:after="320" w:before="32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05  </w:t>
      </w:r>
      <w:r>
        <w:rPr>
          <w:rFonts w:ascii="Calibri" w:cs="Calibri" w:eastAsia="Calibri" w:hAnsi="Calibri"/>
          <w:b/>
          <w:bCs/>
          <w:color w:val="D97706"/>
          <w:sz w:val="20"/>
          <w:szCs w:val="20"/>
        </w:rPr>
        <w:t xml:space="preserve">KẾ HOẠCH HÀNH ĐỘNG</w:t>
      </w:r>
    </w:p>
    <w:p>
      <w:pPr>
        <w:spacing w:after="200"/>
      </w:pPr>
      <w:r>
        <w:rPr>
          <w:rFonts w:ascii="Calibri" w:cs="Calibri" w:eastAsia="Calibri" w:hAnsi="Calibri"/>
          <w:b/>
          <w:bCs/>
          <w:color w:val="111827"/>
          <w:sz w:val="36"/>
          <w:szCs w:val="36"/>
        </w:rPr>
        <w:t xml:space="preserve">Kế hoạch hành động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592"/>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SPRINT</w:t>
            </w:r>
          </w:p>
        </w:tc>
        <w:tc>
          <w:tcPr>
            <w:tcW w:type="dxa" w:w="1152"/>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ID</w:t>
            </w:r>
          </w:p>
        </w:tc>
        <w:tc>
          <w:tcPr>
            <w:tcW w:type="dxa" w:w="3455"/>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VẤN ĐỀ</w:t>
            </w:r>
          </w:p>
        </w:tc>
        <w:tc>
          <w:tcPr>
            <w:tcW w:type="dxa" w:w="1296"/>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MỨC ĐỘ</w:t>
            </w:r>
          </w:p>
        </w:tc>
        <w:tc>
          <w:tcPr>
            <w:tcW w:type="dxa" w:w="1008"/>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EFFORT</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Sprint 1 (Tuần 1-2)</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UXP-001</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Bổ sung nút gửi lại OTP + bộ đếm ngược</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B91C1C"/>
                <w:sz w:val="15"/>
                <w:szCs w:val="15"/>
                <w:shd w:fill="FEE2E2" w:color="FEE2E2" w:val="solid"/>
              </w:rPr>
              <w:t xml:space="preserve"> CRITICAL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M</w:t>
            </w:r>
          </w:p>
        </w:tc>
      </w:tr>
      <w:tr>
        <w:tc>
          <w:tcPr>
            <w:tcW w:type="dxa" w:w="259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Sprint 1</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UXP-002</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Thêm hiển thị số tiền bằng chữ real-time trên form</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B91C1C"/>
                <w:sz w:val="15"/>
                <w:szCs w:val="15"/>
                <w:shd w:fill="FEE2E2" w:color="FEE2E2" w:val="solid"/>
              </w:rPr>
              <w:t xml:space="preserve"> CRITICAL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Sprint 2 (Tuần 3-4)</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UXP-003</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Chuyển nút "Tiếp tục" sang sticky footer</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vMerge w:val="restart"/>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Sprint 2</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UXP-004</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Đồng bộ số tiền giữa tiêu đề và chi tiết biên nhận</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vMerge w:val="continue"/>
            <w:tcBorders>
              <w:top w:val="single" w:color="D1D5DB" w:sz="1"/>
              <w:left w:val="single" w:color="D1D5DB" w:sz="1"/>
              <w:bottom w:val="single" w:color="D1D5DB" w:sz="1"/>
              <w:right w:val="single" w:color="D1D5DB" w:sz="1"/>
            </w:tcBorders>
          </w:tcP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UXP-005</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Hiển thị tĩnh phương thức xác thực khi chỉ có 1 lựa chọn</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Backlog (Khi có bandwidth)</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UXP-006</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Sửa lỗi chính tả "Qúy khách" → "Quý khách"</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vMerge w:val="restart"/>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Backlog</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UXP-007</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Thêm nhãn "[Tự động]" cho nội dung giao dịch tự điền</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vMerge w:val="continue"/>
            <w:tcBorders>
              <w:top w:val="single" w:color="D1D5DB" w:sz="1"/>
              <w:left w:val="single" w:color="D1D5DB" w:sz="1"/>
              <w:bottom w:val="single" w:color="D1D5DB" w:sz="1"/>
              <w:right w:val="single" w:color="D1D5DB" w:sz="1"/>
            </w:tcBorders>
          </w:tcP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UXP-008</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Hiển thị phí giao dịch và thuế trên biên nhận kết quả</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bl>
    <w:p>
      <w:pPr>
        <w:spacing w:after="480" w:before="480"/>
      </w:pPr>
    </w:p>
    <w:p>
      <w:pPr>
        <w:pBdr>
          <w:bottom w:val="single" w:color="D1D5DB" w:sz="1"/>
        </w:pBdr>
        <w:spacing w:after="200" w:before="200"/>
      </w:pPr>
    </w:p>
    <w:p>
      <w:pPr>
        <w:spacing w:after="160" w:before="160"/>
        <w:jc w:val="center"/>
      </w:pPr>
      <w:r>
        <w:rPr>
          <w:rFonts w:ascii="Calibri" w:cs="Calibri" w:eastAsia="Calibri" w:hAnsi="Calibri"/>
          <w:i/>
          <w:iCs/>
          <w:color w:val="9CA3AF"/>
          <w:sz w:val="18"/>
          <w:szCs w:val="18"/>
        </w:rPr>
        <w:t xml:space="preserve">Co-opBank KHCN · Chuyển tiền nội bộ khác chủ tài khoản · Powered by Design Data Layer</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1c258b194c3c317909c09bd532d1dd0714b60e.png"/><Relationship Id="rId8" Type="http://schemas.openxmlformats.org/officeDocument/2006/relationships/image" Target="media/8c51138b5b16fbac6a300ebb95d581b9097dd053.png"/><Relationship Id="rId9" Type="http://schemas.openxmlformats.org/officeDocument/2006/relationships/image" Target="media/a512dc3cb1607482e2a28b2688e01b6152b8f92c.png"/><Relationship Id="rId10" Type="http://schemas.openxmlformats.org/officeDocument/2006/relationships/image" Target="media/382c02e2ec8237233a68ed7e69925664187636c3.png"/><Relationship Id="rId11" Type="http://schemas.openxmlformats.org/officeDocument/2006/relationships/image" Target="media/d4b65dbdbe3ffffdf0638d8581c0509ac0b247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2026-03-18T11:03:07.728Z</dcterms:created>
  <dcterms:modified xsi:type="dcterms:W3CDTF">2026-03-18T11:03:07.729Z</dcterms:modified>
</cp:coreProperties>
</file>

<file path=docProps/custom.xml><?xml version="1.0" encoding="utf-8"?>
<Properties xmlns="http://schemas.openxmlformats.org/officeDocument/2006/custom-properties" xmlns:vt="http://schemas.openxmlformats.org/officeDocument/2006/docPropsVTypes"/>
</file>