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Assignment No. 6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Thursday, November 10, 2022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Cody Duong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3050266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FirstnameLastname_Assignment6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FirstnameLastname_Assignment6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Copy of Rubric 6.docx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Source code for Assignment 6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Algorithm is recursive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5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Title for each puzzle is printed out (1 point per title).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5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Each puzzle is printed out (1 point per puzzle)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Solution for puzzle1.txt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Solution for puzzle2.txt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Solution for puzzle3.txt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Solution for puzzle4.txt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Solution for puzzle5.txt is correct and was not hardcoded.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</w:rPr>
              <w:t>Code is adequately commented*.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  <w:r>
        <w:br w:type="page"/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CellMar>
          <w:top w:w="15" w:type="dxa"/>
          <w:left w:w="86" w:type="dxa"/>
          <w:bottom w:w="0" w:type="dxa"/>
          <w:right w:w="86" w:type="dxa"/>
        </w:tblCellMar>
        <w:tblLook w:val="0420" w:noHBand="0" w:noVBand="1" w:firstColumn="0" w:lastRow="0" w:lastColumn="0" w:firstRow="1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Start w:id="0" w:name="_Hlk109987811"/>
            <w:bookmarkEnd w:id="0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Title, puzzle, and solution,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Title, puzzle, and solution.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2</Pages>
  <Words>427</Words>
  <Characters>2135</Characters>
  <CharactersWithSpaces>2492</CharactersWithSpaces>
  <Paragraphs>62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2022-11-10T23:31:29Z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Kansas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