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oredesign.shared"/>
    <w:p>
      <w:pPr>
        <w:pStyle w:val="Heading1"/>
      </w:pPr>
      <w:r>
        <w:t xml:space="preserve">CoreDesign.Shared</w:t>
      </w:r>
    </w:p>
    <w:p>
      <w:pPr>
        <w:pStyle w:val="FirstParagraph"/>
      </w:pPr>
      <w:r>
        <w:t xml:space="preserve">Shared infrastructure, error result types, and utility extension methods for .NET projects. Intended to be referenced by both host/API projects and AppHost projects.</w:t>
      </w:r>
    </w:p>
    <w:bookmarkStart w:id="9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1"/>
        </w:numPr>
      </w:pPr>
      <w:r>
        <w:t xml:space="preserve">.NET 10.0</w:t>
      </w:r>
    </w:p>
    <w:p>
      <w:pPr>
        <w:pStyle w:val="Compact"/>
        <w:numPr>
          <w:ilvl w:val="0"/>
          <w:numId w:val="1001"/>
        </w:numPr>
      </w:pPr>
      <w:r>
        <w:t xml:space="preserve">Microsoft.EntityFrameworkCore 10.x</w:t>
      </w:r>
    </w:p>
    <w:p>
      <w:pPr>
        <w:pStyle w:val="Compact"/>
        <w:numPr>
          <w:ilvl w:val="0"/>
          <w:numId w:val="1001"/>
        </w:numPr>
      </w:pPr>
      <w:r>
        <w:t xml:space="preserve">Microsoft.Extensions.Configuration.Abstractions 10.x</w:t>
      </w:r>
    </w:p>
    <w:p>
      <w:pPr>
        <w:pStyle w:val="Compact"/>
        <w:numPr>
          <w:ilvl w:val="0"/>
          <w:numId w:val="1001"/>
        </w:numPr>
      </w:pPr>
      <w:r>
        <w:t xml:space="preserve">Microsoft.Extensions.Configuration.Json 10.x</w:t>
      </w:r>
    </w:p>
    <w:p>
      <w:pPr>
        <w:pStyle w:val="Compact"/>
        <w:numPr>
          <w:ilvl w:val="0"/>
          <w:numId w:val="1001"/>
        </w:numPr>
      </w:pPr>
      <w:r>
        <w:t xml:space="preserve">Microsoft.Extensions.DependencyInjection 10.x</w:t>
      </w:r>
    </w:p>
    <w:p>
      <w:pPr>
        <w:pStyle w:val="Compact"/>
        <w:numPr>
          <w:ilvl w:val="0"/>
          <w:numId w:val="1001"/>
        </w:numPr>
      </w:pPr>
      <w:r>
        <w:t xml:space="preserve">Microsoft.Extensions.Options 10.x</w:t>
      </w:r>
    </w:p>
    <w:p>
      <w:pPr>
        <w:pStyle w:val="Compact"/>
        <w:numPr>
          <w:ilvl w:val="0"/>
          <w:numId w:val="1001"/>
        </w:numPr>
      </w:pPr>
      <w:r>
        <w:t xml:space="preserve">Aspire.Hosting.AppHost 13.x</w:t>
      </w:r>
    </w:p>
    <w:p>
      <w:pPr>
        <w:pStyle w:val="Compact"/>
        <w:numPr>
          <w:ilvl w:val="0"/>
          <w:numId w:val="1001"/>
        </w:numPr>
      </w:pPr>
      <w:r>
        <w:t xml:space="preserve">Ulid 1.4.x</w:t>
      </w:r>
    </w:p>
    <w:bookmarkEnd w:id="9"/>
    <w:bookmarkStart w:id="12" w:name="what-is-included"/>
    <w:p>
      <w:pPr>
        <w:pStyle w:val="Heading2"/>
      </w:pPr>
      <w:r>
        <w:t xml:space="preserve">What Is Included</w:t>
      </w:r>
    </w:p>
    <w:bookmarkStart w:id="10" w:name="infrastructure"/>
    <w:p>
      <w:pPr>
        <w:pStyle w:val="Heading3"/>
      </w:pPr>
      <w:r>
        <w:t xml:space="preserve">Infrastructure</w:t>
      </w:r>
    </w:p>
    <w:p>
      <w:pPr>
        <w:pStyle w:val="FirstParagraph"/>
      </w:pPr>
      <w:r>
        <w:rPr>
          <w:rStyle w:val="VerbatimChar"/>
          <w:b/>
          <w:bCs/>
        </w:rPr>
        <w:t xml:space="preserve">DatabaseOptions</w:t>
      </w:r>
    </w:p>
    <w:p>
      <w:pPr>
        <w:pStyle w:val="BodyText"/>
      </w:pPr>
      <w:r>
        <w:t xml:space="preserve">A record that holds the database connection settings read from configuration: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Container or server host name (the Aspire resource 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DatabaseName</w:t>
            </w:r>
          </w:p>
        </w:tc>
        <w:tc>
          <w:tcPr/>
          <w:p>
            <w:pPr>
              <w:pStyle w:val="Compact"/>
            </w:pPr>
            <w:r>
              <w:t xml:space="preserve">Name of the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HostPort</w:t>
            </w:r>
          </w:p>
        </w:tc>
        <w:tc>
          <w:tcPr/>
          <w:p>
            <w:pPr>
              <w:pStyle w:val="Compact"/>
            </w:pPr>
            <w:r>
              <w:t xml:space="preserve">Port the host is listening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ConnectionStringName</w:t>
            </w:r>
          </w:p>
        </w:tc>
        <w:tc>
          <w:tcPr/>
          <w:p>
            <w:pPr>
              <w:pStyle w:val="Compact"/>
            </w:pPr>
            <w:r>
              <w:t xml:space="preserve">Named connection string key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Configuration</w:t>
      </w:r>
      <w:r>
        <w:rPr>
          <w:b/>
          <w:bCs/>
        </w:rPr>
        <w:t xml:space="preserve"> </w:t>
      </w:r>
      <w:r>
        <w:rPr>
          <w:b/>
          <w:bCs/>
        </w:rPr>
        <w:t xml:space="preserve">(extension methods)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AddDatabaseConfiguration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IHostApplicationBuilder</w:t>
            </w:r>
          </w:p>
        </w:tc>
        <w:tc>
          <w:tcPr/>
          <w:p>
            <w:pPr>
              <w:pStyle w:val="Compact"/>
            </w:pPr>
            <w:r>
              <w:t xml:space="preserve">Binds the</w:t>
            </w:r>
            <w:r>
              <w:t xml:space="preserve"> </w:t>
            </w:r>
            <w:r>
              <w:rPr>
                <w:rStyle w:val="VerbatimChar"/>
              </w:rPr>
              <w:t xml:space="preserve">DatabaseOptions</w:t>
            </w:r>
            <w:r>
              <w:t xml:space="preserve"> </w:t>
            </w:r>
            <w:r>
              <w:t xml:space="preserve">section from</w:t>
            </w:r>
            <w:r>
              <w:t xml:space="preserve"> </w:t>
            </w:r>
            <w:r>
              <w:rPr>
                <w:rStyle w:val="VerbatimChar"/>
              </w:rPr>
              <w:t xml:space="preserve">appsettings.json</w:t>
            </w:r>
            <w:r>
              <w:t xml:space="preserve"> </w:t>
            </w:r>
            <w:r>
              <w:t xml:space="preserve">into the options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AddAppSettings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IHostApplicationBuilder</w:t>
            </w:r>
          </w:p>
        </w:tc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appsettings.json</w:t>
            </w:r>
            <w:r>
              <w:t xml:space="preserve"> </w:t>
            </w:r>
            <w:r>
              <w:t xml:space="preserve">and the environment-specific</w:t>
            </w:r>
            <w:r>
              <w:t xml:space="preserve"> </w:t>
            </w:r>
            <w:r>
              <w:rPr>
                <w:rStyle w:val="VerbatimChar"/>
              </w:rPr>
              <w:t xml:space="preserve">appsettings.{Environment}.json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AddAppSettings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IDistributedApplicationBuilder</w:t>
            </w:r>
          </w:p>
        </w:tc>
        <w:tc>
          <w:tcPr/>
          <w:p>
            <w:pPr>
              <w:pStyle w:val="Compact"/>
            </w:pPr>
            <w:r>
              <w:t xml:space="preserve">Same as above, for use in Aspire AppHost projects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 result records</w:t>
      </w:r>
    </w:p>
    <w:p>
      <w:pPr>
        <w:pStyle w:val="BodyText"/>
      </w:pPr>
      <w:r>
        <w:t xml:space="preserve">Lightweight result records for use with discriminated unions (e.g.,</w:t>
      </w:r>
      <w:r>
        <w:t xml:space="preserve"> </w:t>
      </w:r>
      <w:r>
        <w:rPr>
          <w:rStyle w:val="VerbatimChar"/>
        </w:rPr>
        <w:t xml:space="preserve">OneOf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NotFoundMessage</w:t>
            </w:r>
          </w:p>
        </w:tc>
        <w:tc>
          <w:tcPr/>
          <w:p>
            <w:pPr>
              <w:pStyle w:val="Compact"/>
            </w:pPr>
            <w:r>
              <w:t xml:space="preserve">Resource could not be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BadRequestMessage</w:t>
            </w:r>
          </w:p>
        </w:tc>
        <w:tc>
          <w:tcPr/>
          <w:p>
            <w:pPr>
              <w:pStyle w:val="Compact"/>
            </w:pPr>
            <w:r>
              <w:t xml:space="preserve">The request was invalid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ErrorMessage</w:t>
            </w:r>
          </w:p>
        </w:tc>
        <w:tc>
          <w:tcPr/>
          <w:p>
            <w:pPr>
              <w:pStyle w:val="Compact"/>
            </w:pPr>
            <w:r>
              <w:t xml:space="preserve">A general error occurred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InvalidOperationMessage</w:t>
            </w:r>
          </w:p>
        </w:tc>
        <w:tc>
          <w:tcPr/>
          <w:p>
            <w:pPr>
              <w:pStyle w:val="Compact"/>
            </w:pPr>
            <w:r>
              <w:t xml:space="preserve">The operation is not valid in the current state</w:t>
            </w:r>
          </w:p>
        </w:tc>
      </w:tr>
    </w:tbl>
    <w:p>
      <w:pPr>
        <w:pStyle w:val="BodyText"/>
      </w:pPr>
      <w:r>
        <w:t xml:space="preserve">Each record carries a single</w:t>
      </w:r>
      <w:r>
        <w:t xml:space="preserve"> </w:t>
      </w:r>
      <w:r>
        <w:rPr>
          <w:rStyle w:val="VerbatimChar"/>
        </w:rPr>
        <w:t xml:space="preserve">string Message</w:t>
      </w:r>
      <w:r>
        <w:t xml:space="preserve"> </w:t>
      </w:r>
      <w:r>
        <w:t xml:space="preserve">property.</w:t>
      </w:r>
    </w:p>
    <w:bookmarkEnd w:id="10"/>
    <w:bookmarkStart w:id="11" w:name="extension-methods"/>
    <w:p>
      <w:pPr>
        <w:pStyle w:val="Heading3"/>
      </w:pPr>
      <w:r>
        <w:t xml:space="preserve">Extension Methods</w:t>
      </w:r>
    </w:p>
    <w:p>
      <w:pPr>
        <w:pStyle w:val="FirstParagraph"/>
      </w:pPr>
      <w:r>
        <w:rPr>
          <w:rStyle w:val="VerbatimChar"/>
          <w:b/>
          <w:bCs/>
        </w:rPr>
        <w:t xml:space="preserve">ObjectExtensionMethods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ToJson&lt;T&gt;()</w:t>
            </w:r>
          </w:p>
        </w:tc>
        <w:tc>
          <w:tcPr/>
          <w:p>
            <w:pPr>
              <w:pStyle w:val="Compact"/>
            </w:pPr>
            <w:r>
              <w:t xml:space="preserve">Serializes any object to a JSON string, ignoring circular 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SaveToJsonFile&lt;T&gt;(filePath)</w:t>
            </w:r>
          </w:p>
        </w:tc>
        <w:tc>
          <w:tcPr/>
          <w:p>
            <w:pPr>
              <w:pStyle w:val="Compact"/>
            </w:pPr>
            <w:r>
              <w:t xml:space="preserve">Serializes an object and writes it to a file at the given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DeepClone&lt;T&gt;(options?)</w:t>
            </w:r>
          </w:p>
        </w:tc>
        <w:tc>
          <w:tcPr/>
          <w:p>
            <w:pPr>
              <w:pStyle w:val="Compact"/>
            </w:pPr>
            <w:r>
              <w:t xml:space="preserve">Deep-clones an object via JSON round-trip; returns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if the source is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</w:tbl>
    <w:p>
      <w:pPr>
        <w:pStyle w:val="Body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DeepClone</w:t>
      </w:r>
      <w:r>
        <w:t xml:space="preserve"> </w:t>
      </w:r>
      <w:r>
        <w:t xml:space="preserve">requires the type to be serializable by</w:t>
      </w:r>
      <w:r>
        <w:t xml:space="preserve"> </w:t>
      </w:r>
      <w:r>
        <w:rPr>
          <w:rStyle w:val="VerbatimChar"/>
        </w:rPr>
        <w:t xml:space="preserve">System.Text.Json</w:t>
      </w:r>
      <w:r>
        <w:t xml:space="preserve">. Types with non-default constructors may need a</w:t>
      </w:r>
      <w:r>
        <w:t xml:space="preserve"> </w:t>
      </w:r>
      <w:r>
        <w:rPr>
          <w:rStyle w:val="VerbatimChar"/>
        </w:rPr>
        <w:t xml:space="preserve">[JsonConstructor]</w:t>
      </w:r>
      <w:r>
        <w:t xml:space="preserve"> </w:t>
      </w:r>
      <w:r>
        <w:t xml:space="preserve">attribute.</w:t>
      </w:r>
    </w:p>
    <w:p>
      <w:pPr>
        <w:pStyle w:val="BodyText"/>
      </w:pPr>
      <w:r>
        <w:rPr>
          <w:rStyle w:val="VerbatimChar"/>
          <w:b/>
          <w:bCs/>
        </w:rPr>
        <w:t xml:space="preserve">StringExtensionMethods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LoadObjectFromJsonFile&lt;T&gt;()</w:t>
            </w:r>
          </w:p>
        </w:tc>
        <w:tc>
          <w:tcPr/>
          <w:p>
            <w:pPr>
              <w:pStyle w:val="Compact"/>
            </w:pPr>
            <w:r>
              <w:t xml:space="preserve">Reads a JSON file at the given path and deserializes it to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To&lt;T&gt;()</w:t>
            </w:r>
          </w:p>
        </w:tc>
        <w:tc>
          <w:tcPr/>
          <w:p>
            <w:pPr>
              <w:pStyle w:val="Compact"/>
            </w:pPr>
            <w:r>
              <w:t xml:space="preserve">Converts a string to any type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TypeDescriptor</w:t>
            </w:r>
            <w:r>
              <w:t xml:space="preserve">, throwing</w:t>
            </w:r>
            <w:r>
              <w:t xml:space="preserve"> </w:t>
            </w:r>
            <w:r>
              <w:rPr>
                <w:rStyle w:val="VerbatimChar"/>
              </w:rPr>
              <w:t xml:space="preserve">ArgumentException</w:t>
            </w:r>
            <w:r>
              <w:t xml:space="preserve"> </w:t>
            </w:r>
            <w:r>
              <w:t xml:space="preserve">if the conversion is not supported or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PadRightWithZeros(totalWidth)</w:t>
            </w:r>
          </w:p>
        </w:tc>
        <w:tc>
          <w:tcPr/>
          <w:p>
            <w:pPr>
              <w:pStyle w:val="Compact"/>
            </w:pPr>
            <w:r>
              <w:t xml:space="preserve">Pads a string to</w:t>
            </w:r>
            <w:r>
              <w:t xml:space="preserve"> </w:t>
            </w:r>
            <w:r>
              <w:rPr>
                <w:rStyle w:val="VerbatimChar"/>
              </w:rPr>
              <w:t xml:space="preserve">totalWidth</w:t>
            </w:r>
            <w:r>
              <w:t xml:space="preserve"> </w:t>
            </w:r>
            <w:r>
              <w:t xml:space="preserve">characters using</w:t>
            </w:r>
            <w:r>
              <w:t xml:space="preserve"> </w:t>
            </w:r>
            <w:r>
              <w:rPr>
                <w:rStyle w:val="VerbatimChar"/>
              </w:rPr>
              <w:t xml:space="preserve">'0'</w:t>
            </w:r>
            <w:r>
              <w:t xml:space="preserve"> </w:t>
            </w:r>
            <w:r>
              <w:t xml:space="preserve">on the right; returns all zeros if input is null or empty</w:t>
            </w:r>
          </w:p>
        </w:tc>
      </w:tr>
    </w:tbl>
    <w:bookmarkEnd w:id="11"/>
    <w:bookmarkEnd w:id="12"/>
    <w:bookmarkStart w:id="13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rPr>
          <w:b/>
          <w:bCs/>
        </w:rPr>
        <w:t xml:space="preserve">1. Install the NuGet package</w:t>
      </w:r>
    </w:p>
    <w:p>
      <w:pPr>
        <w:pStyle w:val="BodyText"/>
      </w:pPr>
      <w:r>
        <w:t xml:space="preserve">Using the .NET CLI: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CoreDesign.Shared</w:t>
      </w:r>
    </w:p>
    <w:p>
      <w:pPr>
        <w:pStyle w:val="FirstParagraph"/>
      </w:pPr>
      <w:r>
        <w:t xml:space="preserve">Using the NuGet Package Manager Console:</w:t>
      </w:r>
    </w:p>
    <w:p>
      <w:pPr>
        <w:pStyle w:val="SourceCode"/>
      </w:pPr>
      <w:r>
        <w:rPr>
          <w:rStyle w:val="FunctionTok"/>
        </w:rPr>
        <w:t xml:space="preserve">Install-Package</w:t>
      </w:r>
      <w:r>
        <w:rPr>
          <w:rStyle w:val="NormalTok"/>
        </w:rPr>
        <w:t xml:space="preserve"> CoreDesign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Shared</w:t>
      </w:r>
    </w:p>
    <w:p>
      <w:pPr>
        <w:pStyle w:val="FirstParagraph"/>
      </w:pPr>
      <w:r>
        <w:t xml:space="preserve">Or add directly to your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"CoreDesign.Shared"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2. Add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DatabaseOptions</w:t>
      </w:r>
      <w:r>
        <w:rPr>
          <w:b/>
          <w:bCs/>
        </w:rPr>
        <w:t xml:space="preserve"> </w:t>
      </w:r>
      <w:r>
        <w:rPr>
          <w:b/>
          <w:bCs/>
        </w:rPr>
        <w:t xml:space="preserve">section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"DatabaseOptions"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"my-sql-server"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"MyDatabase"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"HostPort"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"ConnectionStringName"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"MyDatabase"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 Register configuration in your host</w:t>
      </w:r>
    </w:p>
    <w:p>
      <w:pPr>
        <w:pStyle w:val="BodyText"/>
      </w:pPr>
      <w:r>
        <w:t xml:space="preserve">Call both extension methods during startup to load settings and bind database options: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AddAppSettings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AddDatabaseConfiguration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Then resolve</w:t>
      </w:r>
      <w:r>
        <w:t xml:space="preserve"> </w:t>
      </w:r>
      <w:r>
        <w:rPr>
          <w:rStyle w:val="VerbatimChar"/>
        </w:rPr>
        <w:t xml:space="preserve">DatabaseOptions</w:t>
      </w:r>
      <w:r>
        <w:t xml:space="preserve"> </w:t>
      </w:r>
      <w:r>
        <w:t xml:space="preserve">wherever needed: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dbOptions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DatabaseOptions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DatabaseOptions</w:t>
      </w:r>
      <w:r>
        <w:rPr>
          <w:rStyle w:val="OperatorTok"/>
        </w:rPr>
        <w:t xml:space="preserve">&gt;();</w:t>
      </w:r>
    </w:p>
    <w:bookmarkEnd w:id="13"/>
    <w:bookmarkStart w:id="14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rPr>
          <w:b/>
          <w:bCs/>
        </w:rPr>
        <w:t xml:space="preserve">Error results with OneOf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OneOf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NotFoundMessage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Ulid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widget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widget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"Widget {id} not found."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Deep clone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DeepClone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JSON file round-trip</w:t>
      </w:r>
    </w:p>
    <w:p>
      <w:pPr>
        <w:pStyle w:val="SourceCode"/>
      </w:pPr>
      <w:r>
        <w:rPr>
          <w:rStyle w:val="NormalTok"/>
        </w:rPr>
        <w:t xml:space="preserve">myObject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SaveToJsonFile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"output.json"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"output.json"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LoadObjectFromJsonFile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MyObject</w:t>
      </w:r>
      <w:r>
        <w:rPr>
          <w:rStyle w:val="OperatorTok"/>
        </w:rPr>
        <w:t xml:space="preserve">&gt;();</w:t>
      </w:r>
    </w:p>
    <w:p>
      <w:pPr>
        <w:pStyle w:val="FirstParagraph"/>
      </w:pPr>
      <w:r>
        <w:rPr>
          <w:b/>
          <w:bCs/>
        </w:rPr>
        <w:t xml:space="preserve">String conversion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DateOnly</w:t>
      </w:r>
      <w:r>
        <w:rPr>
          <w:rStyle w:val="OperatorTok"/>
        </w:rPr>
        <w:t xml:space="preserve">&gt;();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2026-05-03T19:35:05Z</dcterms:created>
  <dcterms:modified xsi:type="dcterms:W3CDTF">2026-05-03T19:35:05Z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