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e577662576294323"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E6FB42" wp14:paraId="06B1BCE8" wp14:textId="19715138">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The artifact I chose for this database enhancement is my Go-based reverse proxy, which I originally built with an in-memory service registry. While the in-memory approach worked perfectly for development and testing, it had fundamental limitations that made it unsuitable for production environments. Services would disappear on restart</w:t>
      </w:r>
      <w:r w:rsidRPr="33E6FB42" w:rsidR="11FD2231">
        <w:rPr>
          <w:rFonts w:ascii="Times New Roman" w:hAnsi="Times New Roman" w:eastAsia="Times New Roman" w:cs="Times New Roman"/>
          <w:noProof w:val="0"/>
          <w:lang w:val="en-US"/>
        </w:rPr>
        <w:t>, there</w:t>
      </w:r>
      <w:r w:rsidRPr="33E6FB42" w:rsidR="11FD2231">
        <w:rPr>
          <w:rFonts w:ascii="Times New Roman" w:hAnsi="Times New Roman" w:eastAsia="Times New Roman" w:cs="Times New Roman"/>
          <w:noProof w:val="0"/>
          <w:lang w:val="en-US"/>
        </w:rPr>
        <w:t xml:space="preserve"> was no persistence across deployments, and scaling beyond a single instance was impossible. This milestone focused on replacing the ephemeral in-memory registry with a robust PostgreSQL-backed system that provides true persistence, transactional consistency, and the foundation for distributed deployments.</w:t>
      </w:r>
    </w:p>
    <w:p xmlns:wp14="http://schemas.microsoft.com/office/word/2010/wordml" w:rsidP="33E6FB42" wp14:paraId="6E231E90" wp14:textId="4D4BB8E5">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original registry lived entirely in </w:t>
      </w:r>
      <w:r w:rsidRPr="33E6FB42" w:rsidR="11FD2231">
        <w:rPr>
          <w:rFonts w:ascii="Times New Roman" w:hAnsi="Times New Roman" w:eastAsia="Times New Roman" w:cs="Times New Roman"/>
          <w:noProof w:val="0"/>
          <w:lang w:val="en-US"/>
        </w:rPr>
        <w:t>registry.go</w:t>
      </w:r>
      <w:r w:rsidRPr="33E6FB42" w:rsidR="11FD2231">
        <w:rPr>
          <w:rFonts w:ascii="Times New Roman" w:hAnsi="Times New Roman" w:eastAsia="Times New Roman" w:cs="Times New Roman"/>
          <w:noProof w:val="0"/>
          <w:lang w:val="en-US"/>
        </w:rPr>
        <w:t xml:space="preserve"> as a simple Go map protected by read-write mutexes. It stored service metadata such as names, base URLs, and routing prefixes in memory, which meant that every application restart wiped the slate clean. The test servers would re-register themselves on startup, but any manually registered services or configuration changes were lost. There was no audit trail, no backup capability, and no way to share registry state between multiple proxy instances. While the in-memory approach delivered excellent performance with </w:t>
      </w:r>
      <w:r w:rsidRPr="33E6FB42" w:rsidR="11FD2231">
        <w:rPr>
          <w:rFonts w:ascii="Times New Roman" w:hAnsi="Times New Roman" w:eastAsia="Times New Roman" w:cs="Times New Roman"/>
          <w:noProof w:val="0"/>
          <w:lang w:val="en-US"/>
        </w:rPr>
        <w:t>O(</w:t>
      </w:r>
      <w:r w:rsidRPr="33E6FB42" w:rsidR="11FD2231">
        <w:rPr>
          <w:rFonts w:ascii="Times New Roman" w:hAnsi="Times New Roman" w:eastAsia="Times New Roman" w:cs="Times New Roman"/>
          <w:noProof w:val="0"/>
          <w:lang w:val="en-US"/>
        </w:rPr>
        <w:t>1) lookups, it was fundamentally unsuitable for any serious deployment scenario.</w:t>
      </w:r>
    </w:p>
    <w:p xmlns:wp14="http://schemas.microsoft.com/office/word/2010/wordml" w:rsidP="33E6FB42" wp14:paraId="196E9C4C" wp14:textId="1105E842">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enhanced version replaces this ephemeral storage with a complete PostgreSQL integration using industry-standard tools: Goose for database migrations and SQLC for type-safe query generation. This transformation required building an entirely new data persistence layer while </w:t>
      </w:r>
      <w:r w:rsidRPr="33E6FB42" w:rsidR="11FD2231">
        <w:rPr>
          <w:rFonts w:ascii="Times New Roman" w:hAnsi="Times New Roman" w:eastAsia="Times New Roman" w:cs="Times New Roman"/>
          <w:noProof w:val="0"/>
          <w:lang w:val="en-US"/>
        </w:rPr>
        <w:t>maintaining</w:t>
      </w:r>
      <w:r w:rsidRPr="33E6FB42" w:rsidR="11FD2231">
        <w:rPr>
          <w:rFonts w:ascii="Times New Roman" w:hAnsi="Times New Roman" w:eastAsia="Times New Roman" w:cs="Times New Roman"/>
          <w:noProof w:val="0"/>
          <w:lang w:val="en-US"/>
        </w:rPr>
        <w:t xml:space="preserve"> full backward compatibility with the existing application interface. The new </w:t>
      </w:r>
      <w:r w:rsidRPr="33E6FB42" w:rsidR="11FD2231">
        <w:rPr>
          <w:rFonts w:ascii="Times New Roman" w:hAnsi="Times New Roman" w:eastAsia="Times New Roman" w:cs="Times New Roman"/>
          <w:noProof w:val="0"/>
          <w:lang w:val="en-US"/>
        </w:rPr>
        <w:t>PostgreSQLRegistry</w:t>
      </w:r>
      <w:r w:rsidRPr="33E6FB42" w:rsidR="11FD2231">
        <w:rPr>
          <w:rFonts w:ascii="Times New Roman" w:hAnsi="Times New Roman" w:eastAsia="Times New Roman" w:cs="Times New Roman"/>
          <w:noProof w:val="0"/>
          <w:lang w:val="en-US"/>
        </w:rPr>
        <w:t xml:space="preserve"> in </w:t>
      </w:r>
      <w:r w:rsidRPr="33E6FB42" w:rsidR="11FD2231">
        <w:rPr>
          <w:rFonts w:ascii="Times New Roman" w:hAnsi="Times New Roman" w:eastAsia="Times New Roman" w:cs="Times New Roman"/>
          <w:noProof w:val="0"/>
          <w:lang w:val="en-US"/>
        </w:rPr>
        <w:t>postgres_registry.go</w:t>
      </w:r>
      <w:r w:rsidRPr="33E6FB42" w:rsidR="11FD2231">
        <w:rPr>
          <w:rFonts w:ascii="Times New Roman" w:hAnsi="Times New Roman" w:eastAsia="Times New Roman" w:cs="Times New Roman"/>
          <w:noProof w:val="0"/>
          <w:lang w:val="en-US"/>
        </w:rPr>
        <w:t xml:space="preserve"> implements the same interface as the original registry, ensuring that the rest of the application</w:t>
      </w:r>
      <w:r w:rsidRPr="33E6FB42" w:rsidR="6EA2687F">
        <w:rPr>
          <w:rFonts w:ascii="Times New Roman" w:hAnsi="Times New Roman" w:eastAsia="Times New Roman" w:cs="Times New Roman"/>
          <w:noProof w:val="0"/>
          <w:lang w:val="en-US"/>
        </w:rPr>
        <w:t xml:space="preserve">s </w:t>
      </w:r>
      <w:r w:rsidRPr="33E6FB42" w:rsidR="11FD2231">
        <w:rPr>
          <w:rFonts w:ascii="Times New Roman" w:hAnsi="Times New Roman" w:eastAsia="Times New Roman" w:cs="Times New Roman"/>
          <w:noProof w:val="0"/>
          <w:lang w:val="en-US"/>
        </w:rPr>
        <w:t>routing logic, health monitoring, API endpoints</w:t>
      </w:r>
      <w:r w:rsidRPr="33E6FB42" w:rsidR="04E846CD">
        <w:rPr>
          <w:rFonts w:ascii="Times New Roman" w:hAnsi="Times New Roman" w:eastAsia="Times New Roman" w:cs="Times New Roman"/>
          <w:noProof w:val="0"/>
          <w:lang w:val="en-US"/>
        </w:rPr>
        <w:t xml:space="preserve">, </w:t>
      </w:r>
      <w:r w:rsidRPr="33E6FB42" w:rsidR="11FD2231">
        <w:rPr>
          <w:rFonts w:ascii="Times New Roman" w:hAnsi="Times New Roman" w:eastAsia="Times New Roman" w:cs="Times New Roman"/>
          <w:noProof w:val="0"/>
          <w:lang w:val="en-US"/>
        </w:rPr>
        <w:t>continues to work exactly as before, just with persistent storage underneath.</w:t>
      </w:r>
    </w:p>
    <w:p xmlns:wp14="http://schemas.microsoft.com/office/word/2010/wordml" w:rsidP="33E6FB42" wp14:paraId="7BD9B2F5" wp14:textId="47DC2BA7">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Implementing the PostgreSQL registry meant solving several technical challenges. </w:t>
      </w:r>
      <w:r w:rsidRPr="33E6FB42" w:rsidR="11FD2231">
        <w:rPr>
          <w:rFonts w:ascii="Times New Roman" w:hAnsi="Times New Roman" w:eastAsia="Times New Roman" w:cs="Times New Roman"/>
          <w:noProof w:val="0"/>
          <w:lang w:val="en-US"/>
        </w:rPr>
        <w:t>First was</w:t>
      </w:r>
      <w:r w:rsidRPr="33E6FB42" w:rsidR="11FD2231">
        <w:rPr>
          <w:rFonts w:ascii="Times New Roman" w:hAnsi="Times New Roman" w:eastAsia="Times New Roman" w:cs="Times New Roman"/>
          <w:noProof w:val="0"/>
          <w:lang w:val="en-US"/>
        </w:rPr>
        <w:t xml:space="preserve"> designing a proper database schema that could handle the array of routing prefixes efficiently. PostgreSQL's native array support allowed storing multiple prefixes as a single </w:t>
      </w:r>
      <w:r w:rsidRPr="33E6FB42" w:rsidR="11FD2231">
        <w:rPr>
          <w:rFonts w:ascii="Times New Roman" w:hAnsi="Times New Roman" w:eastAsia="Times New Roman" w:cs="Times New Roman"/>
          <w:noProof w:val="0"/>
          <w:lang w:val="en-US"/>
        </w:rPr>
        <w:t>TEXT[</w:t>
      </w:r>
      <w:r w:rsidRPr="33E6FB42" w:rsidR="11FD2231">
        <w:rPr>
          <w:rFonts w:ascii="Times New Roman" w:hAnsi="Times New Roman" w:eastAsia="Times New Roman" w:cs="Times New Roman"/>
          <w:noProof w:val="0"/>
          <w:lang w:val="en-US"/>
        </w:rPr>
        <w:t>]</w:t>
      </w:r>
      <w:r w:rsidRPr="33E6FB42" w:rsidR="11FD2231">
        <w:rPr>
          <w:rFonts w:ascii="Times New Roman" w:hAnsi="Times New Roman" w:eastAsia="Times New Roman" w:cs="Times New Roman"/>
          <w:noProof w:val="0"/>
          <w:lang w:val="en-US"/>
        </w:rPr>
        <w:t xml:space="preserve"> column rather than requiring a separate junction table, which simplified queries and improved performance. The migration in </w:t>
      </w:r>
      <w:r w:rsidRPr="33E6FB42" w:rsidR="11FD2231">
        <w:rPr>
          <w:rFonts w:ascii="Times New Roman" w:hAnsi="Times New Roman" w:eastAsia="Times New Roman" w:cs="Times New Roman"/>
          <w:noProof w:val="0"/>
          <w:lang w:val="en-US"/>
        </w:rPr>
        <w:t>001_create_services.sql</w:t>
      </w:r>
      <w:r w:rsidRPr="33E6FB42" w:rsidR="11FD2231">
        <w:rPr>
          <w:rFonts w:ascii="Times New Roman" w:hAnsi="Times New Roman" w:eastAsia="Times New Roman" w:cs="Times New Roman"/>
          <w:noProof w:val="0"/>
          <w:lang w:val="en-US"/>
        </w:rPr>
        <w:t xml:space="preserve"> creates the services table with </w:t>
      </w:r>
      <w:r w:rsidRPr="33E6FB42" w:rsidR="11FD2231">
        <w:rPr>
          <w:rFonts w:ascii="Times New Roman" w:hAnsi="Times New Roman" w:eastAsia="Times New Roman" w:cs="Times New Roman"/>
          <w:noProof w:val="0"/>
          <w:lang w:val="en-US"/>
        </w:rPr>
        <w:t>appropriate indexes</w:t>
      </w:r>
      <w:r w:rsidRPr="33E6FB42" w:rsidR="11FD2231">
        <w:rPr>
          <w:rFonts w:ascii="Times New Roman" w:hAnsi="Times New Roman" w:eastAsia="Times New Roman" w:cs="Times New Roman"/>
          <w:noProof w:val="0"/>
          <w:lang w:val="en-US"/>
        </w:rPr>
        <w:t xml:space="preserve"> and constraints, </w:t>
      </w:r>
      <w:r w:rsidRPr="33E6FB42" w:rsidR="11FD2231">
        <w:rPr>
          <w:rFonts w:ascii="Times New Roman" w:hAnsi="Times New Roman" w:eastAsia="Times New Roman" w:cs="Times New Roman"/>
          <w:noProof w:val="0"/>
          <w:lang w:val="en-US"/>
        </w:rPr>
        <w:t>establishing</w:t>
      </w:r>
      <w:r w:rsidRPr="33E6FB42" w:rsidR="11FD2231">
        <w:rPr>
          <w:rFonts w:ascii="Times New Roman" w:hAnsi="Times New Roman" w:eastAsia="Times New Roman" w:cs="Times New Roman"/>
          <w:noProof w:val="0"/>
          <w:lang w:val="en-US"/>
        </w:rPr>
        <w:t xml:space="preserve"> a solid foundation for the registry data.</w:t>
      </w:r>
    </w:p>
    <w:p xmlns:wp14="http://schemas.microsoft.com/office/word/2010/wordml" w:rsidP="33E6FB42" wp14:paraId="0511E4F6" wp14:textId="727AF83C">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SQLC integration was particularly important for </w:t>
      </w:r>
      <w:r w:rsidRPr="33E6FB42" w:rsidR="11FD2231">
        <w:rPr>
          <w:rFonts w:ascii="Times New Roman" w:hAnsi="Times New Roman" w:eastAsia="Times New Roman" w:cs="Times New Roman"/>
          <w:noProof w:val="0"/>
          <w:lang w:val="en-US"/>
        </w:rPr>
        <w:t>maintaining</w:t>
      </w:r>
      <w:r w:rsidRPr="33E6FB42" w:rsidR="11FD2231">
        <w:rPr>
          <w:rFonts w:ascii="Times New Roman" w:hAnsi="Times New Roman" w:eastAsia="Times New Roman" w:cs="Times New Roman"/>
          <w:noProof w:val="0"/>
          <w:lang w:val="en-US"/>
        </w:rPr>
        <w:t xml:space="preserve"> code quality and type safety. Rather than writing raw SQL strings scattered throughout the code, I defined all database operations in </w:t>
      </w:r>
      <w:r w:rsidRPr="33E6FB42" w:rsidR="11FD2231">
        <w:rPr>
          <w:rFonts w:ascii="Times New Roman" w:hAnsi="Times New Roman" w:eastAsia="Times New Roman" w:cs="Times New Roman"/>
          <w:noProof w:val="0"/>
          <w:lang w:val="en-US"/>
        </w:rPr>
        <w:t>services.sql</w:t>
      </w:r>
      <w:r w:rsidRPr="33E6FB42" w:rsidR="11FD2231">
        <w:rPr>
          <w:rFonts w:ascii="Times New Roman" w:hAnsi="Times New Roman" w:eastAsia="Times New Roman" w:cs="Times New Roman"/>
          <w:noProof w:val="0"/>
          <w:lang w:val="en-US"/>
        </w:rPr>
        <w:t xml:space="preserve"> using SQLC's annotation syntax. This generates fully type-safe Go functions that handle parameter binding, result scanning, and error handling automatically. The generated code in </w:t>
      </w:r>
      <w:r w:rsidRPr="33E6FB42" w:rsidR="11FD2231">
        <w:rPr>
          <w:rFonts w:ascii="Times New Roman" w:hAnsi="Times New Roman" w:eastAsia="Times New Roman" w:cs="Times New Roman"/>
          <w:noProof w:val="0"/>
          <w:lang w:val="en-US"/>
        </w:rPr>
        <w:t>db</w:t>
      </w:r>
      <w:r w:rsidRPr="33E6FB42" w:rsidR="11FD2231">
        <w:rPr>
          <w:rFonts w:ascii="Times New Roman" w:hAnsi="Times New Roman" w:eastAsia="Times New Roman" w:cs="Times New Roman"/>
          <w:noProof w:val="0"/>
          <w:lang w:val="en-US"/>
        </w:rPr>
        <w:t xml:space="preserve"> provides methods like </w:t>
      </w:r>
      <w:r w:rsidRPr="33E6FB42" w:rsidR="11FD2231">
        <w:rPr>
          <w:rFonts w:ascii="Times New Roman" w:hAnsi="Times New Roman" w:eastAsia="Times New Roman" w:cs="Times New Roman"/>
          <w:noProof w:val="0"/>
          <w:lang w:val="en-US"/>
        </w:rPr>
        <w:t>RegisterService</w:t>
      </w:r>
      <w:r w:rsidRPr="33E6FB42" w:rsidR="11FD2231">
        <w:rPr>
          <w:rFonts w:ascii="Times New Roman" w:hAnsi="Times New Roman" w:eastAsia="Times New Roman" w:cs="Times New Roman"/>
          <w:noProof w:val="0"/>
          <w:lang w:val="en-US"/>
        </w:rPr>
        <w:t xml:space="preserve">, </w:t>
      </w:r>
      <w:r w:rsidRPr="33E6FB42" w:rsidR="11FD2231">
        <w:rPr>
          <w:rFonts w:ascii="Times New Roman" w:hAnsi="Times New Roman" w:eastAsia="Times New Roman" w:cs="Times New Roman"/>
          <w:noProof w:val="0"/>
          <w:lang w:val="en-US"/>
        </w:rPr>
        <w:t>GetAllServices</w:t>
      </w:r>
      <w:r w:rsidRPr="33E6FB42" w:rsidR="11FD2231">
        <w:rPr>
          <w:rFonts w:ascii="Times New Roman" w:hAnsi="Times New Roman" w:eastAsia="Times New Roman" w:cs="Times New Roman"/>
          <w:noProof w:val="0"/>
          <w:lang w:val="en-US"/>
        </w:rPr>
        <w:t xml:space="preserve">, and </w:t>
      </w:r>
      <w:r w:rsidRPr="33E6FB42" w:rsidR="11FD2231">
        <w:rPr>
          <w:rFonts w:ascii="Times New Roman" w:hAnsi="Times New Roman" w:eastAsia="Times New Roman" w:cs="Times New Roman"/>
          <w:noProof w:val="0"/>
          <w:lang w:val="en-US"/>
        </w:rPr>
        <w:t>DeleteService</w:t>
      </w:r>
      <w:r w:rsidRPr="33E6FB42" w:rsidR="11FD2231">
        <w:rPr>
          <w:rFonts w:ascii="Times New Roman" w:hAnsi="Times New Roman" w:eastAsia="Times New Roman" w:cs="Times New Roman"/>
          <w:noProof w:val="0"/>
          <w:lang w:val="en-US"/>
        </w:rPr>
        <w:t xml:space="preserve"> that integrate seamlessly with the PostgreSQL driver while </w:t>
      </w:r>
      <w:r w:rsidRPr="33E6FB42" w:rsidR="11FD2231">
        <w:rPr>
          <w:rFonts w:ascii="Times New Roman" w:hAnsi="Times New Roman" w:eastAsia="Times New Roman" w:cs="Times New Roman"/>
          <w:noProof w:val="0"/>
          <w:lang w:val="en-US"/>
        </w:rPr>
        <w:t>eliminating</w:t>
      </w:r>
      <w:r w:rsidRPr="33E6FB42" w:rsidR="11FD2231">
        <w:rPr>
          <w:rFonts w:ascii="Times New Roman" w:hAnsi="Times New Roman" w:eastAsia="Times New Roman" w:cs="Times New Roman"/>
          <w:noProof w:val="0"/>
          <w:lang w:val="en-US"/>
        </w:rPr>
        <w:t xml:space="preserve"> entire classes of SQL injection vulnerabilities and runtime type errors.</w:t>
      </w:r>
    </w:p>
    <w:p xmlns:wp14="http://schemas.microsoft.com/office/word/2010/wordml" w:rsidP="33E6FB42" wp14:paraId="49D22C3F" wp14:textId="01ACED6F">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new registry supports </w:t>
      </w:r>
      <w:r w:rsidRPr="33E6FB42" w:rsidR="11FD2231">
        <w:rPr>
          <w:rFonts w:ascii="Times New Roman" w:hAnsi="Times New Roman" w:eastAsia="Times New Roman" w:cs="Times New Roman"/>
          <w:noProof w:val="0"/>
          <w:lang w:val="en-US"/>
        </w:rPr>
        <w:t>upsert</w:t>
      </w:r>
      <w:r w:rsidRPr="33E6FB42" w:rsidR="11FD2231">
        <w:rPr>
          <w:rFonts w:ascii="Times New Roman" w:hAnsi="Times New Roman" w:eastAsia="Times New Roman" w:cs="Times New Roman"/>
          <w:noProof w:val="0"/>
          <w:lang w:val="en-US"/>
        </w:rPr>
        <w:t xml:space="preserve"> semantics through PostgreSQL's </w:t>
      </w:r>
      <w:r w:rsidRPr="33E6FB42" w:rsidR="11FD2231">
        <w:rPr>
          <w:rFonts w:ascii="Times New Roman" w:hAnsi="Times New Roman" w:eastAsia="Times New Roman" w:cs="Times New Roman"/>
          <w:noProof w:val="0"/>
          <w:lang w:val="en-US"/>
        </w:rPr>
        <w:t>ON CONFLICT</w:t>
      </w:r>
      <w:r w:rsidRPr="33E6FB42" w:rsidR="11FD2231">
        <w:rPr>
          <w:rFonts w:ascii="Times New Roman" w:hAnsi="Times New Roman" w:eastAsia="Times New Roman" w:cs="Times New Roman"/>
          <w:noProof w:val="0"/>
          <w:lang w:val="en-US"/>
        </w:rPr>
        <w:t xml:space="preserve"> </w:t>
      </w:r>
      <w:r w:rsidRPr="33E6FB42" w:rsidR="11FD2231">
        <w:rPr>
          <w:rFonts w:ascii="Times New Roman" w:hAnsi="Times New Roman" w:eastAsia="Times New Roman" w:cs="Times New Roman"/>
          <w:noProof w:val="0"/>
          <w:lang w:val="en-US"/>
        </w:rPr>
        <w:t>clause,</w:t>
      </w:r>
      <w:r w:rsidRPr="33E6FB42" w:rsidR="11FD2231">
        <w:rPr>
          <w:rFonts w:ascii="Times New Roman" w:hAnsi="Times New Roman" w:eastAsia="Times New Roman" w:cs="Times New Roman"/>
          <w:noProof w:val="0"/>
          <w:lang w:val="en-US"/>
        </w:rPr>
        <w:t xml:space="preserve"> meaning services can be re-registered with updated configurations without manual deregistration. This is crucial for dynamic environments where services might restart with different port numbers or add new routing prefixes. The database automatically handles timestamp updates, </w:t>
      </w:r>
      <w:r w:rsidRPr="33E6FB42" w:rsidR="11FD2231">
        <w:rPr>
          <w:rFonts w:ascii="Times New Roman" w:hAnsi="Times New Roman" w:eastAsia="Times New Roman" w:cs="Times New Roman"/>
          <w:noProof w:val="0"/>
          <w:lang w:val="en-US"/>
        </w:rPr>
        <w:t>maintains</w:t>
      </w:r>
      <w:r w:rsidRPr="33E6FB42" w:rsidR="11FD2231">
        <w:rPr>
          <w:rFonts w:ascii="Times New Roman" w:hAnsi="Times New Roman" w:eastAsia="Times New Roman" w:cs="Times New Roman"/>
          <w:noProof w:val="0"/>
          <w:lang w:val="en-US"/>
        </w:rPr>
        <w:t xml:space="preserve"> foreign key relationships, and ensures data consistency even under concurrent access from multiple proxy instances.</w:t>
      </w:r>
    </w:p>
    <w:p xmlns:wp14="http://schemas.microsoft.com/office/word/2010/wordml" w:rsidP="33E6FB42" wp14:paraId="107FF3B3" wp14:textId="0E86F5F2">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Maintaining</w:t>
      </w:r>
      <w:r w:rsidRPr="33E6FB42" w:rsidR="11FD2231">
        <w:rPr>
          <w:rFonts w:ascii="Times New Roman" w:hAnsi="Times New Roman" w:eastAsia="Times New Roman" w:cs="Times New Roman"/>
          <w:noProof w:val="0"/>
          <w:lang w:val="en-US"/>
        </w:rPr>
        <w:t xml:space="preserve"> interface compatibility was essential to avoid breaking changes across the application. The </w:t>
      </w:r>
      <w:r w:rsidRPr="33E6FB42" w:rsidR="11FD2231">
        <w:rPr>
          <w:rFonts w:ascii="Times New Roman" w:hAnsi="Times New Roman" w:eastAsia="Times New Roman" w:cs="Times New Roman"/>
          <w:noProof w:val="0"/>
          <w:lang w:val="en-US"/>
        </w:rPr>
        <w:t>RegistryInterface</w:t>
      </w:r>
      <w:r w:rsidRPr="33E6FB42" w:rsidR="11FD2231">
        <w:rPr>
          <w:rFonts w:ascii="Times New Roman" w:hAnsi="Times New Roman" w:eastAsia="Times New Roman" w:cs="Times New Roman"/>
          <w:noProof w:val="0"/>
          <w:lang w:val="en-US"/>
        </w:rPr>
        <w:t xml:space="preserve"> in </w:t>
      </w:r>
      <w:r w:rsidRPr="33E6FB42" w:rsidR="11FD2231">
        <w:rPr>
          <w:rFonts w:ascii="Times New Roman" w:hAnsi="Times New Roman" w:eastAsia="Times New Roman" w:cs="Times New Roman"/>
          <w:noProof w:val="0"/>
          <w:lang w:val="en-US"/>
        </w:rPr>
        <w:t>app.go</w:t>
      </w:r>
      <w:r w:rsidRPr="33E6FB42" w:rsidR="11FD2231">
        <w:rPr>
          <w:rFonts w:ascii="Times New Roman" w:hAnsi="Times New Roman" w:eastAsia="Times New Roman" w:cs="Times New Roman"/>
          <w:noProof w:val="0"/>
          <w:lang w:val="en-US"/>
        </w:rPr>
        <w:t xml:space="preserve"> defines the contract that both registry implementations must follow, including methods for service registration, deregistration, path-based routing, and HTTP endpoint handling. This abstraction allows the application to switch between in-memory and PostgreSQL backends seamlessly, with the main constructor detecting database availability and falling back gracefully if PostgreSQL is unavailable.</w:t>
      </w:r>
    </w:p>
    <w:p xmlns:wp14="http://schemas.microsoft.com/office/word/2010/wordml" w:rsidP="33E6FB42" wp14:paraId="270D752E" wp14:textId="280E91EF">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health monitoring system required special attention during this transition. The original health monitor was tightly coupled to the in-memory registry structure, directly accessing the internal map to iterate over services. The enhanced version uses the standardized interface methods, calling </w:t>
      </w:r>
      <w:r w:rsidRPr="33E6FB42" w:rsidR="11FD2231">
        <w:rPr>
          <w:rFonts w:ascii="Times New Roman" w:hAnsi="Times New Roman" w:eastAsia="Times New Roman" w:cs="Times New Roman"/>
          <w:noProof w:val="0"/>
          <w:lang w:val="en-US"/>
        </w:rPr>
        <w:t>GetServers</w:t>
      </w:r>
      <w:r w:rsidRPr="33E6FB42" w:rsidR="11FD2231">
        <w:rPr>
          <w:rFonts w:ascii="Times New Roman" w:hAnsi="Times New Roman" w:eastAsia="Times New Roman" w:cs="Times New Roman"/>
          <w:noProof w:val="0"/>
          <w:lang w:val="en-US"/>
        </w:rPr>
        <w:t>()</w:t>
      </w:r>
      <w:r w:rsidRPr="33E6FB42" w:rsidR="11FD2231">
        <w:rPr>
          <w:rFonts w:ascii="Times New Roman" w:hAnsi="Times New Roman" w:eastAsia="Times New Roman" w:cs="Times New Roman"/>
          <w:noProof w:val="0"/>
          <w:lang w:val="en-US"/>
        </w:rPr>
        <w:t xml:space="preserve"> to retrieve the current service list rather than assuming direct memory access. This change makes the health monitor more robust and allows it to work consistently regardless of the underlying storage mechanism.</w:t>
      </w:r>
    </w:p>
    <w:p xmlns:wp14="http://schemas.microsoft.com/office/word/2010/wordml" w:rsidP="33E6FB42" wp14:paraId="624084C1" wp14:textId="13352103">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Testing the integration revealed the power of the new persistence model. Services registered through the API endpoints are </w:t>
      </w:r>
      <w:r w:rsidRPr="33E6FB42" w:rsidR="11FD2231">
        <w:rPr>
          <w:rFonts w:ascii="Times New Roman" w:hAnsi="Times New Roman" w:eastAsia="Times New Roman" w:cs="Times New Roman"/>
          <w:noProof w:val="0"/>
          <w:lang w:val="en-US"/>
        </w:rPr>
        <w:t>immediately</w:t>
      </w:r>
      <w:r w:rsidRPr="33E6FB42" w:rsidR="11FD2231">
        <w:rPr>
          <w:rFonts w:ascii="Times New Roman" w:hAnsi="Times New Roman" w:eastAsia="Times New Roman" w:cs="Times New Roman"/>
          <w:noProof w:val="0"/>
          <w:lang w:val="en-US"/>
        </w:rPr>
        <w:t xml:space="preserve"> stored in PostgreSQL and survive application restarts. The registry API at /registry returns data directly from the database, and path-based routing queries the persistent storage in real-time. The database serves as the </w:t>
      </w:r>
      <w:r w:rsidRPr="33E6FB42" w:rsidR="11FD2231">
        <w:rPr>
          <w:rFonts w:ascii="Times New Roman" w:hAnsi="Times New Roman" w:eastAsia="Times New Roman" w:cs="Times New Roman"/>
          <w:noProof w:val="0"/>
          <w:lang w:val="en-US"/>
        </w:rPr>
        <w:t>single source</w:t>
      </w:r>
      <w:r w:rsidRPr="33E6FB42" w:rsidR="11FD2231">
        <w:rPr>
          <w:rFonts w:ascii="Times New Roman" w:hAnsi="Times New Roman" w:eastAsia="Times New Roman" w:cs="Times New Roman"/>
          <w:noProof w:val="0"/>
          <w:lang w:val="en-US"/>
        </w:rPr>
        <w:t xml:space="preserve"> of truth for service configuration, </w:t>
      </w:r>
      <w:r w:rsidRPr="33E6FB42" w:rsidR="11FD2231">
        <w:rPr>
          <w:rFonts w:ascii="Times New Roman" w:hAnsi="Times New Roman" w:eastAsia="Times New Roman" w:cs="Times New Roman"/>
          <w:noProof w:val="0"/>
          <w:lang w:val="en-US"/>
        </w:rPr>
        <w:t>eliminating</w:t>
      </w:r>
      <w:r w:rsidRPr="33E6FB42" w:rsidR="11FD2231">
        <w:rPr>
          <w:rFonts w:ascii="Times New Roman" w:hAnsi="Times New Roman" w:eastAsia="Times New Roman" w:cs="Times New Roman"/>
          <w:noProof w:val="0"/>
          <w:lang w:val="en-US"/>
        </w:rPr>
        <w:t xml:space="preserve"> the synchronization issues that would arise in multi-instance deployments.</w:t>
      </w:r>
    </w:p>
    <w:p xmlns:wp14="http://schemas.microsoft.com/office/word/2010/wordml" w:rsidP="33E6FB42" wp14:paraId="6F06A301" wp14:textId="2554AD05">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This enhancement fundamentally transforms the reverse proxy from a development tool into</w:t>
      </w:r>
      <w:r w:rsidRPr="33E6FB42" w:rsidR="23B84187">
        <w:rPr>
          <w:rFonts w:ascii="Times New Roman" w:hAnsi="Times New Roman" w:eastAsia="Times New Roman" w:cs="Times New Roman"/>
          <w:noProof w:val="0"/>
          <w:lang w:val="en-US"/>
        </w:rPr>
        <w:t xml:space="preserve"> a more</w:t>
      </w:r>
      <w:r w:rsidRPr="33E6FB42" w:rsidR="11FD2231">
        <w:rPr>
          <w:rFonts w:ascii="Times New Roman" w:hAnsi="Times New Roman" w:eastAsia="Times New Roman" w:cs="Times New Roman"/>
          <w:noProof w:val="0"/>
          <w:lang w:val="en-US"/>
        </w:rPr>
        <w:t xml:space="preserve"> production-ready infrastructure. The persistent registry enables horizontal scaling, provides audit trails for service registrations, and creates opportunities for more sophisticated features like service discovery integration, configuration management, and deployment automation. Someone examining this code can see a clear understanding of database design, transaction management, interface abstraction, and the architectural patterns </w:t>
      </w:r>
      <w:r w:rsidRPr="33E6FB42" w:rsidR="11FD2231">
        <w:rPr>
          <w:rFonts w:ascii="Times New Roman" w:hAnsi="Times New Roman" w:eastAsia="Times New Roman" w:cs="Times New Roman"/>
          <w:noProof w:val="0"/>
          <w:lang w:val="en-US"/>
        </w:rPr>
        <w:t>required</w:t>
      </w:r>
      <w:r w:rsidRPr="33E6FB42" w:rsidR="11FD2231">
        <w:rPr>
          <w:rFonts w:ascii="Times New Roman" w:hAnsi="Times New Roman" w:eastAsia="Times New Roman" w:cs="Times New Roman"/>
          <w:noProof w:val="0"/>
          <w:lang w:val="en-US"/>
        </w:rPr>
        <w:t xml:space="preserve"> for building reliable distributed systems.</w:t>
      </w:r>
    </w:p>
    <w:p xmlns:wp14="http://schemas.microsoft.com/office/word/2010/wordml" w:rsidP="33E6FB42" wp14:paraId="4170B910" wp14:textId="1D805FFD">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enhancement process reinforced several important lessons about software architecture and database integration. Designing schemas that balance normalization with performance requires careful consideration of query patterns and access frequency. Maintaining backward compatibility while completely reworking underlying storage mechanisms demands thoughtful interface design and comprehensive testing. Integrating code generation tools like SQLC into the development workflow creates a more robust and maintainable </w:t>
      </w:r>
      <w:r w:rsidRPr="33E6FB42" w:rsidR="11FD2231">
        <w:rPr>
          <w:rFonts w:ascii="Times New Roman" w:hAnsi="Times New Roman" w:eastAsia="Times New Roman" w:cs="Times New Roman"/>
          <w:noProof w:val="0"/>
          <w:lang w:val="en-US"/>
        </w:rPr>
        <w:t>codebase, but</w:t>
      </w:r>
      <w:r w:rsidRPr="33E6FB42" w:rsidR="11FD2231">
        <w:rPr>
          <w:rFonts w:ascii="Times New Roman" w:hAnsi="Times New Roman" w:eastAsia="Times New Roman" w:cs="Times New Roman"/>
          <w:noProof w:val="0"/>
          <w:lang w:val="en-US"/>
        </w:rPr>
        <w:t xml:space="preserve"> requires understanding the trade-offs between flexibility and type safety.</w:t>
      </w:r>
    </w:p>
    <w:p xmlns:wp14="http://schemas.microsoft.com/office/word/2010/wordml" w:rsidP="33E6FB42" wp14:paraId="23AE60AC" wp14:textId="2A70C079">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The most challenging aspect was ensuring that all the existing functionality—routing, health monitoring, API endpoints—continued to work exactly as before while completely changing the storage backend. This required careful attention to interface design, thorough testing of edge cases, and systematic verification that the enhanced version </w:t>
      </w:r>
      <w:r w:rsidRPr="33E6FB42" w:rsidR="11FD2231">
        <w:rPr>
          <w:rFonts w:ascii="Times New Roman" w:hAnsi="Times New Roman" w:eastAsia="Times New Roman" w:cs="Times New Roman"/>
          <w:noProof w:val="0"/>
          <w:lang w:val="en-US"/>
        </w:rPr>
        <w:t>maintained</w:t>
      </w:r>
      <w:r w:rsidRPr="33E6FB42" w:rsidR="11FD2231">
        <w:rPr>
          <w:rFonts w:ascii="Times New Roman" w:hAnsi="Times New Roman" w:eastAsia="Times New Roman" w:cs="Times New Roman"/>
          <w:noProof w:val="0"/>
          <w:lang w:val="en-US"/>
        </w:rPr>
        <w:t xml:space="preserve"> full behavioral compatibility with the original implementation.</w:t>
      </w:r>
    </w:p>
    <w:p xmlns:wp14="http://schemas.microsoft.com/office/word/2010/wordml" w:rsidP="33E6FB42" wp14:paraId="6C26AA68" wp14:textId="5D247FDD">
      <w:pPr>
        <w:pStyle w:val="Normal"/>
        <w:spacing w:line="480" w:lineRule="auto"/>
        <w:ind w:firstLine="720"/>
        <w:rPr>
          <w:rFonts w:ascii="Times New Roman" w:hAnsi="Times New Roman" w:eastAsia="Times New Roman" w:cs="Times New Roman"/>
          <w:noProof w:val="0"/>
          <w:lang w:val="en-US"/>
        </w:rPr>
      </w:pPr>
      <w:r w:rsidRPr="33E6FB42" w:rsidR="11FD2231">
        <w:rPr>
          <w:rFonts w:ascii="Times New Roman" w:hAnsi="Times New Roman" w:eastAsia="Times New Roman" w:cs="Times New Roman"/>
          <w:noProof w:val="0"/>
          <w:lang w:val="en-US"/>
        </w:rPr>
        <w:t xml:space="preserve">This database integration </w:t>
      </w:r>
      <w:r w:rsidRPr="33E6FB42" w:rsidR="11FD2231">
        <w:rPr>
          <w:rFonts w:ascii="Times New Roman" w:hAnsi="Times New Roman" w:eastAsia="Times New Roman" w:cs="Times New Roman"/>
          <w:noProof w:val="0"/>
          <w:lang w:val="en-US"/>
        </w:rPr>
        <w:t>represents</w:t>
      </w:r>
      <w:r w:rsidRPr="33E6FB42" w:rsidR="11FD2231">
        <w:rPr>
          <w:rFonts w:ascii="Times New Roman" w:hAnsi="Times New Roman" w:eastAsia="Times New Roman" w:cs="Times New Roman"/>
          <w:noProof w:val="0"/>
          <w:lang w:val="en-US"/>
        </w:rPr>
        <w:t xml:space="preserve"> a significant architectural maturity milestone for the reverse proxy. It </w:t>
      </w:r>
      <w:r w:rsidRPr="33E6FB42" w:rsidR="11FD2231">
        <w:rPr>
          <w:rFonts w:ascii="Times New Roman" w:hAnsi="Times New Roman" w:eastAsia="Times New Roman" w:cs="Times New Roman"/>
          <w:noProof w:val="0"/>
          <w:lang w:val="en-US"/>
        </w:rPr>
        <w:t>demonstrates</w:t>
      </w:r>
      <w:r w:rsidRPr="33E6FB42" w:rsidR="11FD2231">
        <w:rPr>
          <w:rFonts w:ascii="Times New Roman" w:hAnsi="Times New Roman" w:eastAsia="Times New Roman" w:cs="Times New Roman"/>
          <w:noProof w:val="0"/>
          <w:lang w:val="en-US"/>
        </w:rPr>
        <w:t xml:space="preserve"> the systems thinking, database design skills, and engineering discipline required to evolve a prototype into production-ready infrastructure that can scale beyond single-instance deployments and provide the reliability guarantees expected in real-world environments.</w:t>
      </w:r>
    </w:p>
    <w:p xmlns:wp14="http://schemas.microsoft.com/office/word/2010/wordml" w:rsidP="33E6FB42" wp14:paraId="2C078E63" wp14:textId="1C6D700D">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B5B8A6"/>
    <w:rsid w:val="04E846CD"/>
    <w:rsid w:val="11FD2231"/>
    <w:rsid w:val="1AC31372"/>
    <w:rsid w:val="23B84187"/>
    <w:rsid w:val="33E6FB42"/>
    <w:rsid w:val="3D232F33"/>
    <w:rsid w:val="518AB306"/>
    <w:rsid w:val="657B76E4"/>
    <w:rsid w:val="69B5B8A6"/>
    <w:rsid w:val="6EA2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B8A6"/>
  <w15:chartTrackingRefBased/>
  <w15:docId w15:val="{C2F8AA5C-7DE0-4F05-B394-EA5A9AEBBC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2025-11-26T00:11:33.8749669Z</dcterms:created>
  <dcterms:modified xsi:type="dcterms:W3CDTF">2025-11-26T00:15:56.6789310Z</dcterms:modified>
  <dc:creator>Theroux, Cody</dc:creator>
  <lastModifiedBy>Theroux, Cody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CS499 Enhancement 3 Narrative.docx</vt:lpwstr>
  </property>
  <property xmlns="http://schemas.openxmlformats.org/officeDocument/2006/custom-properties" fmtid="{D5CDD505-2E9C-101B-9397-08002B2CF9AE}" pid="3" name="TII_WORD_DOCUMENT_ID">
    <vt:lpwstr xmlns:vt="http://schemas.openxmlformats.org/officeDocument/2006/docPropsVTypes">7c5a8e6c-8ada-496c-bb78-7f4b844f4c12</vt:lpwstr>
  </property>
  <property xmlns="http://schemas.openxmlformats.org/officeDocument/2006/custom-properties" fmtid="{D5CDD505-2E9C-101B-9397-08002B2CF9AE}" pid="4" name="TII_WORD_DOCUMENT_HASH">
    <vt:lpwstr xmlns:vt="http://schemas.openxmlformats.org/officeDocument/2006/docPropsVTypes">7f6f75bd960db28de5309e92ab177605a6daaf81a70939e9b22f132aa69b77fa</vt:lpwstr>
  </property>
</Properties>
</file>