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BB0D" w14:textId="77777777" w:rsidR="000F0C2E" w:rsidRPr="00987FE2" w:rsidRDefault="000F0C2E" w:rsidP="000F0C2E">
      <w:pPr>
        <w:spacing w:line="480" w:lineRule="auto"/>
        <w:rPr>
          <w:rFonts w:ascii="Times New Roman" w:hAnsi="Times New Roman" w:cs="Times New Roman"/>
          <w:sz w:val="24"/>
          <w:szCs w:val="24"/>
        </w:rPr>
      </w:pPr>
      <w:r w:rsidRPr="00987FE2">
        <w:rPr>
          <w:rFonts w:ascii="Times New Roman" w:hAnsi="Times New Roman" w:cs="Times New Roman"/>
          <w:sz w:val="24"/>
          <w:szCs w:val="24"/>
        </w:rPr>
        <w:t>Cody VanGosen</w:t>
      </w:r>
    </w:p>
    <w:p w14:paraId="4BBCBCFC" w14:textId="77777777" w:rsidR="000F0C2E" w:rsidRPr="00987FE2" w:rsidRDefault="000F0C2E" w:rsidP="000F0C2E">
      <w:pPr>
        <w:spacing w:line="480" w:lineRule="auto"/>
        <w:rPr>
          <w:rFonts w:ascii="Times New Roman" w:hAnsi="Times New Roman" w:cs="Times New Roman"/>
          <w:sz w:val="24"/>
          <w:szCs w:val="24"/>
        </w:rPr>
      </w:pPr>
      <w:r w:rsidRPr="00987FE2">
        <w:rPr>
          <w:rFonts w:ascii="Times New Roman" w:hAnsi="Times New Roman" w:cs="Times New Roman"/>
          <w:sz w:val="24"/>
          <w:szCs w:val="24"/>
        </w:rPr>
        <w:t>Southern New Hampshire University</w:t>
      </w:r>
    </w:p>
    <w:p w14:paraId="1940E675" w14:textId="4DF102F8" w:rsidR="00BE0188" w:rsidRPr="00987FE2" w:rsidRDefault="00BE0188" w:rsidP="000F0C2E">
      <w:pPr>
        <w:spacing w:line="480" w:lineRule="auto"/>
        <w:rPr>
          <w:rFonts w:ascii="Times New Roman" w:hAnsi="Times New Roman" w:cs="Times New Roman"/>
          <w:sz w:val="24"/>
          <w:szCs w:val="24"/>
        </w:rPr>
      </w:pPr>
      <w:r w:rsidRPr="00987FE2">
        <w:rPr>
          <w:rFonts w:ascii="Times New Roman" w:hAnsi="Times New Roman" w:cs="Times New Roman"/>
          <w:sz w:val="24"/>
          <w:szCs w:val="24"/>
        </w:rPr>
        <w:t>CS-350 Emerging Systems Architectures and Technologies</w:t>
      </w:r>
    </w:p>
    <w:p w14:paraId="1326FCDD" w14:textId="755000F0" w:rsidR="000F0C2E" w:rsidRPr="00987FE2" w:rsidRDefault="000F0C2E" w:rsidP="000F0C2E">
      <w:pPr>
        <w:spacing w:line="480" w:lineRule="auto"/>
        <w:rPr>
          <w:rFonts w:ascii="Times New Roman" w:hAnsi="Times New Roman" w:cs="Times New Roman"/>
          <w:sz w:val="24"/>
          <w:szCs w:val="24"/>
        </w:rPr>
      </w:pPr>
      <w:r w:rsidRPr="00987FE2">
        <w:rPr>
          <w:rFonts w:ascii="Times New Roman" w:hAnsi="Times New Roman" w:cs="Times New Roman"/>
          <w:sz w:val="24"/>
          <w:szCs w:val="24"/>
        </w:rPr>
        <w:t xml:space="preserve">Professor </w:t>
      </w:r>
      <w:r w:rsidR="00073457" w:rsidRPr="00987FE2">
        <w:rPr>
          <w:rFonts w:ascii="Times New Roman" w:hAnsi="Times New Roman" w:cs="Times New Roman"/>
          <w:sz w:val="24"/>
          <w:szCs w:val="24"/>
        </w:rPr>
        <w:t>Tim Alexander</w:t>
      </w:r>
    </w:p>
    <w:p w14:paraId="59BF5944" w14:textId="03AB143B" w:rsidR="000F0C2E" w:rsidRPr="00987FE2" w:rsidRDefault="00EF72B4" w:rsidP="000F0C2E">
      <w:pPr>
        <w:spacing w:line="480" w:lineRule="auto"/>
        <w:rPr>
          <w:rFonts w:ascii="Times New Roman" w:hAnsi="Times New Roman" w:cs="Times New Roman"/>
          <w:b/>
          <w:bCs/>
          <w:sz w:val="24"/>
          <w:szCs w:val="24"/>
        </w:rPr>
      </w:pPr>
      <w:r>
        <w:rPr>
          <w:rFonts w:ascii="Times New Roman" w:hAnsi="Times New Roman" w:cs="Times New Roman"/>
          <w:sz w:val="24"/>
          <w:szCs w:val="24"/>
        </w:rPr>
        <w:t>April 13, 2025</w:t>
      </w:r>
    </w:p>
    <w:p w14:paraId="545B391D" w14:textId="67C6EF9C" w:rsidR="00E36B02" w:rsidRPr="00987FE2" w:rsidRDefault="00EF72B4" w:rsidP="000F0C2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Final Project Report</w:t>
      </w:r>
    </w:p>
    <w:p w14:paraId="34718D36" w14:textId="77777777" w:rsidR="00EF72B4" w:rsidRPr="00EF72B4" w:rsidRDefault="000F0C2E" w:rsidP="00EF72B4">
      <w:pPr>
        <w:spacing w:line="480" w:lineRule="auto"/>
        <w:rPr>
          <w:rFonts w:ascii="Times New Roman" w:hAnsi="Times New Roman" w:cs="Times New Roman"/>
          <w:sz w:val="24"/>
          <w:szCs w:val="24"/>
        </w:rPr>
      </w:pPr>
      <w:r w:rsidRPr="00987FE2">
        <w:rPr>
          <w:rFonts w:ascii="Times New Roman" w:hAnsi="Times New Roman" w:cs="Times New Roman"/>
          <w:sz w:val="24"/>
          <w:szCs w:val="24"/>
        </w:rPr>
        <w:tab/>
      </w:r>
      <w:r w:rsidR="00EF72B4" w:rsidRPr="00EF72B4">
        <w:rPr>
          <w:rFonts w:ascii="Times New Roman" w:hAnsi="Times New Roman" w:cs="Times New Roman"/>
          <w:sz w:val="24"/>
          <w:szCs w:val="24"/>
        </w:rPr>
        <w:t>The smart thermostat prototype developed in this project successfully integrates temperature sensing, system state control, visual feedback through LEDs, UART communication, and real-time display via an LCD screen. Designed around the AHT20 sensor, PWM-controlled LEDs, and GPIO button inputs, this embedded system provides a simplified but functional simulation of a market-ready smart thermostat. The system includes three primary states: off, heating, and cooling. When the system is in heating mode and the current temperature is below the defined set point, the red LED fades in and out to indicate active heating. When the temperature meets or exceeds the set point, the red LED remains solid, representing standby. Similarly, in cooling mode, the blue LED fades when cooling is active and remains solid otherwise. The user can cycle through states using a designated button and adjust the temperature set point using two additional buttons. Each change is reflected through LED behavior, the LCD display, and output over UART every thirty seconds, fulfilling all required cyber-physical interactions (Pressman &amp; Maxim, 2020).</w:t>
      </w:r>
    </w:p>
    <w:p w14:paraId="0343327A" w14:textId="547D9EE3" w:rsidR="00EF72B4" w:rsidRPr="00EF72B4" w:rsidRDefault="00EF72B4" w:rsidP="00EF72B4">
      <w:pPr>
        <w:spacing w:line="480" w:lineRule="auto"/>
        <w:ind w:firstLine="720"/>
        <w:rPr>
          <w:rFonts w:ascii="Times New Roman" w:hAnsi="Times New Roman" w:cs="Times New Roman"/>
          <w:sz w:val="24"/>
          <w:szCs w:val="24"/>
        </w:rPr>
      </w:pPr>
      <w:r w:rsidRPr="00EF72B4">
        <w:rPr>
          <w:rFonts w:ascii="Times New Roman" w:hAnsi="Times New Roman" w:cs="Times New Roman"/>
          <w:sz w:val="24"/>
          <w:szCs w:val="24"/>
        </w:rPr>
        <w:t xml:space="preserve">During system development, the Raspberry Pi served as the prototyping platform due to its accessible GPIO headers, I2C and UART peripheral support, and compatibility with Python </w:t>
      </w:r>
      <w:r w:rsidRPr="00EF72B4">
        <w:rPr>
          <w:rFonts w:ascii="Times New Roman" w:hAnsi="Times New Roman" w:cs="Times New Roman"/>
          <w:sz w:val="24"/>
          <w:szCs w:val="24"/>
        </w:rPr>
        <w:lastRenderedPageBreak/>
        <w:t xml:space="preserve">libraries like GPIOZero and Adafruit's AHTx0. These libraries enabled efficient integration of physical components such as the temperature sensor, PWM LEDs, and character LCD screen. The final Python script, Thermostat.py, coordinates these components using a custom StateMachine class, threaded LCD management, and conditional logic for light signaling. All temperature readings were </w:t>
      </w:r>
      <w:r w:rsidR="00300A7C" w:rsidRPr="00EF72B4">
        <w:rPr>
          <w:rFonts w:ascii="Times New Roman" w:hAnsi="Times New Roman" w:cs="Times New Roman"/>
          <w:sz w:val="24"/>
          <w:szCs w:val="24"/>
        </w:rPr>
        <w:t>managed</w:t>
      </w:r>
      <w:r w:rsidRPr="00EF72B4">
        <w:rPr>
          <w:rFonts w:ascii="Times New Roman" w:hAnsi="Times New Roman" w:cs="Times New Roman"/>
          <w:sz w:val="24"/>
          <w:szCs w:val="24"/>
        </w:rPr>
        <w:t xml:space="preserve"> via I2C communication with the AHT20, converted to Fahrenheit, and processed to determine the appropriate state response. UART transmission was formatted as a comma-separated string including the current state, real-time temperature, and set point. This consistent output pattern ensures that the device is capable of supporting future integration with a centralized server or cloud system.</w:t>
      </w:r>
    </w:p>
    <w:p w14:paraId="43F42E57" w14:textId="0ADE917E" w:rsidR="00EF72B4" w:rsidRPr="00EF72B4" w:rsidRDefault="00EF72B4" w:rsidP="00EF72B4">
      <w:pPr>
        <w:spacing w:line="480" w:lineRule="auto"/>
        <w:ind w:firstLine="720"/>
        <w:rPr>
          <w:rFonts w:ascii="Times New Roman" w:hAnsi="Times New Roman" w:cs="Times New Roman"/>
          <w:sz w:val="24"/>
          <w:szCs w:val="24"/>
        </w:rPr>
      </w:pPr>
      <w:r w:rsidRPr="00EF72B4">
        <w:rPr>
          <w:rFonts w:ascii="Times New Roman" w:hAnsi="Times New Roman" w:cs="Times New Roman"/>
          <w:sz w:val="24"/>
          <w:szCs w:val="24"/>
        </w:rPr>
        <w:t xml:space="preserve">As the project moves toward deployment, selecting </w:t>
      </w:r>
      <w:r w:rsidR="00300A7C" w:rsidRPr="00EF72B4">
        <w:rPr>
          <w:rFonts w:ascii="Times New Roman" w:hAnsi="Times New Roman" w:cs="Times New Roman"/>
          <w:sz w:val="24"/>
          <w:szCs w:val="24"/>
        </w:rPr>
        <w:t>viable</w:t>
      </w:r>
      <w:r w:rsidRPr="00EF72B4">
        <w:rPr>
          <w:rFonts w:ascii="Times New Roman" w:hAnsi="Times New Roman" w:cs="Times New Roman"/>
          <w:sz w:val="24"/>
          <w:szCs w:val="24"/>
        </w:rPr>
        <w:t xml:space="preserve"> embedded architecture is crucial. Three architectures were considered: Raspberry Pi, Microchip’s PIC32 family, and Freescale’s i.MX RT series. The Raspberry Pi 4 Model B supports all necessary interfaces including I2C, UART, and GPIO, with 1 GB to 8 GB of RAM and support for Wi-Fi through built-in wireless networking. However, the Pi's reliance on an SD card for storage and general-purpose Linux OS may not meet real-time requirements in a commercial embedded system (Bovet &amp; Cesati, 2005). Microchip's PIC32, while excellent for deterministic execution and low power operation, lacks native Wi-Fi and would require additional modules and programming overhead for TCP/IP stack implementation. Its onboard memory is often limited to under 512 KB Flash and 128 KB RAM, making Python-level software infeasible without </w:t>
      </w:r>
      <w:r w:rsidR="00300A7C" w:rsidRPr="00EF72B4">
        <w:rPr>
          <w:rFonts w:ascii="Times New Roman" w:hAnsi="Times New Roman" w:cs="Times New Roman"/>
          <w:sz w:val="24"/>
          <w:szCs w:val="24"/>
        </w:rPr>
        <w:t>redesigning</w:t>
      </w:r>
      <w:r w:rsidRPr="00EF72B4">
        <w:rPr>
          <w:rFonts w:ascii="Times New Roman" w:hAnsi="Times New Roman" w:cs="Times New Roman"/>
          <w:sz w:val="24"/>
          <w:szCs w:val="24"/>
        </w:rPr>
        <w:t xml:space="preserve"> in C/C++ (Microchip Technology Inc., 2023).</w:t>
      </w:r>
    </w:p>
    <w:p w14:paraId="09A2860B" w14:textId="77777777" w:rsidR="00EF72B4" w:rsidRPr="00EF72B4" w:rsidRDefault="00EF72B4" w:rsidP="00EF72B4">
      <w:pPr>
        <w:spacing w:line="480" w:lineRule="auto"/>
        <w:ind w:firstLine="720"/>
        <w:rPr>
          <w:rFonts w:ascii="Times New Roman" w:hAnsi="Times New Roman" w:cs="Times New Roman"/>
          <w:sz w:val="24"/>
          <w:szCs w:val="24"/>
        </w:rPr>
      </w:pPr>
      <w:r w:rsidRPr="00EF72B4">
        <w:rPr>
          <w:rFonts w:ascii="Times New Roman" w:hAnsi="Times New Roman" w:cs="Times New Roman"/>
          <w:sz w:val="24"/>
          <w:szCs w:val="24"/>
        </w:rPr>
        <w:t xml:space="preserve">Freescale’s i.MX RT1060 crossover MCU offers a hybrid solution, combining high clock speeds (up to 600 MHz) with deterministic behavior, GPIO expansion, and integrated wireless via compatible modules. It supports FreeRTOS and has up to 1 MB SRAM and 4 MB Flash, </w:t>
      </w:r>
      <w:r w:rsidRPr="00EF72B4">
        <w:rPr>
          <w:rFonts w:ascii="Times New Roman" w:hAnsi="Times New Roman" w:cs="Times New Roman"/>
          <w:sz w:val="24"/>
          <w:szCs w:val="24"/>
        </w:rPr>
        <w:lastRenderedPageBreak/>
        <w:t>making it a favorable compromise between the full-featured Raspberry Pi and the low-footprint PIC32 (NXP Semiconductors, 2023). Given its native support for embedded applications, cloud connectivity, and strong peripheral compatibility, the i.MX RT1060 is the recommended architecture for production. Its reliability in real-time operations, ease of integration with Wi-Fi modules, and rich development ecosystem provide a stable foundation for scaling the prototype into a market-ready product.</w:t>
      </w:r>
    </w:p>
    <w:p w14:paraId="1A0B8800" w14:textId="295782B2" w:rsidR="00EF72B4" w:rsidRPr="00EF72B4" w:rsidRDefault="00EF72B4" w:rsidP="00EF72B4">
      <w:pPr>
        <w:spacing w:line="480" w:lineRule="auto"/>
        <w:ind w:firstLine="720"/>
        <w:rPr>
          <w:rFonts w:ascii="Times New Roman" w:hAnsi="Times New Roman" w:cs="Times New Roman"/>
          <w:sz w:val="24"/>
          <w:szCs w:val="24"/>
        </w:rPr>
      </w:pPr>
      <w:r w:rsidRPr="00EF72B4">
        <w:rPr>
          <w:rFonts w:ascii="Times New Roman" w:hAnsi="Times New Roman" w:cs="Times New Roman"/>
          <w:sz w:val="24"/>
          <w:szCs w:val="24"/>
        </w:rPr>
        <w:t>In conclusion, the thermostat prototype meets all outlined technical specifications and demonstrates robust interaction between software and hardware layers. Moving forward, adopting the Freescale i.MX RT platform for production would provide the necessary balance of memory, connectivity, and deterministic performance to support commercial deployment and cloud integration.</w:t>
      </w:r>
    </w:p>
    <w:p w14:paraId="3729E8A8" w14:textId="77777777" w:rsidR="001043EF" w:rsidRDefault="001043EF">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487190D2" w14:textId="36DD464A" w:rsidR="001043EF" w:rsidRPr="001043EF" w:rsidRDefault="001043EF" w:rsidP="001043EF">
      <w:pPr>
        <w:spacing w:line="480" w:lineRule="auto"/>
        <w:jc w:val="center"/>
        <w:rPr>
          <w:rFonts w:ascii="Times New Roman" w:hAnsi="Times New Roman" w:cs="Times New Roman"/>
          <w:b/>
          <w:bCs/>
          <w:sz w:val="24"/>
          <w:szCs w:val="24"/>
        </w:rPr>
      </w:pPr>
      <w:r w:rsidRPr="001043EF">
        <w:rPr>
          <w:rFonts w:ascii="Times New Roman" w:hAnsi="Times New Roman" w:cs="Times New Roman"/>
          <w:b/>
          <w:bCs/>
          <w:sz w:val="24"/>
          <w:szCs w:val="24"/>
        </w:rPr>
        <w:lastRenderedPageBreak/>
        <w:t>References</w:t>
      </w:r>
    </w:p>
    <w:p w14:paraId="3C0288CB" w14:textId="05DE9E75" w:rsidR="001043EF" w:rsidRDefault="00EF72B4" w:rsidP="001043EF">
      <w:pPr>
        <w:spacing w:line="480" w:lineRule="auto"/>
        <w:ind w:left="720" w:hanging="720"/>
        <w:rPr>
          <w:rFonts w:ascii="Times New Roman" w:hAnsi="Times New Roman" w:cs="Times New Roman"/>
          <w:sz w:val="24"/>
          <w:szCs w:val="24"/>
        </w:rPr>
      </w:pPr>
      <w:r w:rsidRPr="00EF72B4">
        <w:rPr>
          <w:rFonts w:ascii="Times New Roman" w:hAnsi="Times New Roman" w:cs="Times New Roman"/>
          <w:sz w:val="24"/>
          <w:szCs w:val="24"/>
        </w:rPr>
        <w:t xml:space="preserve">Bovet, D. P., &amp; Cesati, M. (2005). </w:t>
      </w:r>
      <w:r w:rsidRPr="00EF72B4">
        <w:rPr>
          <w:rFonts w:ascii="Times New Roman" w:hAnsi="Times New Roman" w:cs="Times New Roman"/>
          <w:i/>
          <w:iCs/>
          <w:sz w:val="24"/>
          <w:szCs w:val="24"/>
        </w:rPr>
        <w:t>Understanding the Linux Kernel</w:t>
      </w:r>
      <w:r w:rsidRPr="00EF72B4">
        <w:rPr>
          <w:rFonts w:ascii="Times New Roman" w:hAnsi="Times New Roman" w:cs="Times New Roman"/>
          <w:sz w:val="24"/>
          <w:szCs w:val="24"/>
        </w:rPr>
        <w:t xml:space="preserve"> (3rd ed.). O’Reilly Media.</w:t>
      </w:r>
      <w:r w:rsidRPr="00EF72B4">
        <w:rPr>
          <w:rFonts w:ascii="Times New Roman" w:hAnsi="Times New Roman" w:cs="Times New Roman"/>
          <w:sz w:val="24"/>
          <w:szCs w:val="24"/>
        </w:rPr>
        <w:br/>
        <w:t xml:space="preserve">Microchip Technology Inc. (2023). </w:t>
      </w:r>
      <w:r w:rsidRPr="00EF72B4">
        <w:rPr>
          <w:rFonts w:ascii="Times New Roman" w:hAnsi="Times New Roman" w:cs="Times New Roman"/>
          <w:i/>
          <w:iCs/>
          <w:sz w:val="24"/>
          <w:szCs w:val="24"/>
        </w:rPr>
        <w:t>PIC32 family reference manual</w:t>
      </w:r>
      <w:r w:rsidRPr="00EF72B4">
        <w:rPr>
          <w:rFonts w:ascii="Times New Roman" w:hAnsi="Times New Roman" w:cs="Times New Roman"/>
          <w:sz w:val="24"/>
          <w:szCs w:val="24"/>
        </w:rPr>
        <w:t xml:space="preserve">. </w:t>
      </w:r>
      <w:hyperlink r:id="rId7" w:history="1">
        <w:r w:rsidR="001043EF" w:rsidRPr="00EF72B4">
          <w:rPr>
            <w:rStyle w:val="Hyperlink"/>
            <w:rFonts w:ascii="Times New Roman" w:hAnsi="Times New Roman" w:cs="Times New Roman"/>
            <w:sz w:val="24"/>
            <w:szCs w:val="24"/>
          </w:rPr>
          <w:t>https://www.microchip.com/design-centers/32-bit</w:t>
        </w:r>
      </w:hyperlink>
    </w:p>
    <w:p w14:paraId="138C5C36" w14:textId="467A2C42" w:rsidR="00B971FF" w:rsidRDefault="00EF72B4" w:rsidP="00B971FF">
      <w:pPr>
        <w:spacing w:line="480" w:lineRule="auto"/>
        <w:ind w:left="720" w:hanging="720"/>
        <w:rPr>
          <w:rFonts w:ascii="Times New Roman" w:hAnsi="Times New Roman" w:cs="Times New Roman"/>
          <w:sz w:val="24"/>
          <w:szCs w:val="24"/>
        </w:rPr>
      </w:pPr>
      <w:r w:rsidRPr="00EF72B4">
        <w:rPr>
          <w:rFonts w:ascii="Times New Roman" w:hAnsi="Times New Roman" w:cs="Times New Roman"/>
          <w:sz w:val="24"/>
          <w:szCs w:val="24"/>
        </w:rPr>
        <w:t xml:space="preserve">NXP Semiconductors. (2023). </w:t>
      </w:r>
      <w:r w:rsidRPr="00EF72B4">
        <w:rPr>
          <w:rFonts w:ascii="Times New Roman" w:hAnsi="Times New Roman" w:cs="Times New Roman"/>
          <w:i/>
          <w:iCs/>
          <w:sz w:val="24"/>
          <w:szCs w:val="24"/>
        </w:rPr>
        <w:t>i.MX RT1060 Crossover MCU Family</w:t>
      </w:r>
      <w:r w:rsidRPr="00EF72B4">
        <w:rPr>
          <w:rFonts w:ascii="Times New Roman" w:hAnsi="Times New Roman" w:cs="Times New Roman"/>
          <w:sz w:val="24"/>
          <w:szCs w:val="24"/>
        </w:rPr>
        <w:t xml:space="preserve">. </w:t>
      </w:r>
      <w:hyperlink r:id="rId8" w:history="1">
        <w:r w:rsidR="00B971FF" w:rsidRPr="00B971FF">
          <w:rPr>
            <w:rStyle w:val="Hyperlink"/>
            <w:rFonts w:ascii="Times New Roman" w:hAnsi="Times New Roman" w:cs="Times New Roman"/>
            <w:sz w:val="24"/>
            <w:szCs w:val="24"/>
          </w:rPr>
          <w:t>https://www.nxp.com/products/i.MX-RT1060</w:t>
        </w:r>
      </w:hyperlink>
    </w:p>
    <w:p w14:paraId="476D22BE" w14:textId="31D676B7" w:rsidR="00EF72B4" w:rsidRPr="00EF72B4" w:rsidRDefault="00EF72B4" w:rsidP="00B971FF">
      <w:pPr>
        <w:spacing w:line="480" w:lineRule="auto"/>
        <w:ind w:left="720" w:hanging="720"/>
        <w:rPr>
          <w:rFonts w:ascii="Times New Roman" w:hAnsi="Times New Roman" w:cs="Times New Roman"/>
          <w:b/>
          <w:bCs/>
          <w:sz w:val="24"/>
          <w:szCs w:val="24"/>
        </w:rPr>
      </w:pPr>
      <w:r w:rsidRPr="00EF72B4">
        <w:rPr>
          <w:rFonts w:ascii="Times New Roman" w:hAnsi="Times New Roman" w:cs="Times New Roman"/>
          <w:sz w:val="24"/>
          <w:szCs w:val="24"/>
        </w:rPr>
        <w:t xml:space="preserve">Pressman, R. S., &amp; Maxim, B. R. (2020). </w:t>
      </w:r>
      <w:r w:rsidRPr="00EF72B4">
        <w:rPr>
          <w:rFonts w:ascii="Times New Roman" w:hAnsi="Times New Roman" w:cs="Times New Roman"/>
          <w:i/>
          <w:iCs/>
          <w:sz w:val="24"/>
          <w:szCs w:val="24"/>
        </w:rPr>
        <w:t>Software engineering: A practitioner’s approach</w:t>
      </w:r>
      <w:r w:rsidRPr="00EF72B4">
        <w:rPr>
          <w:rFonts w:ascii="Times New Roman" w:hAnsi="Times New Roman" w:cs="Times New Roman"/>
          <w:sz w:val="24"/>
          <w:szCs w:val="24"/>
        </w:rPr>
        <w:t xml:space="preserve"> (9</w:t>
      </w:r>
      <w:r w:rsidRPr="00B971FF">
        <w:rPr>
          <w:rFonts w:ascii="Times New Roman" w:hAnsi="Times New Roman" w:cs="Times New Roman"/>
          <w:sz w:val="24"/>
          <w:szCs w:val="24"/>
          <w:vertAlign w:val="superscript"/>
        </w:rPr>
        <w:t>th</w:t>
      </w:r>
      <w:r w:rsidR="00B971FF">
        <w:rPr>
          <w:rFonts w:ascii="Times New Roman" w:hAnsi="Times New Roman" w:cs="Times New Roman"/>
          <w:sz w:val="24"/>
          <w:szCs w:val="24"/>
        </w:rPr>
        <w:t xml:space="preserve"> </w:t>
      </w:r>
      <w:r w:rsidRPr="00EF72B4">
        <w:rPr>
          <w:rFonts w:ascii="Times New Roman" w:hAnsi="Times New Roman" w:cs="Times New Roman"/>
          <w:sz w:val="24"/>
          <w:szCs w:val="24"/>
        </w:rPr>
        <w:t>ed.). McGraw-Hill Education.</w:t>
      </w:r>
    </w:p>
    <w:p w14:paraId="1D284014" w14:textId="40DABC73" w:rsidR="00F70A3E" w:rsidRPr="00987FE2" w:rsidRDefault="00F70A3E" w:rsidP="00EF72B4">
      <w:pPr>
        <w:spacing w:line="480" w:lineRule="auto"/>
        <w:rPr>
          <w:rFonts w:ascii="Times New Roman" w:hAnsi="Times New Roman" w:cs="Times New Roman"/>
          <w:sz w:val="24"/>
          <w:szCs w:val="24"/>
        </w:rPr>
      </w:pPr>
    </w:p>
    <w:sectPr w:rsidR="00F70A3E" w:rsidRPr="00987F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BF9E5" w14:textId="77777777" w:rsidR="004965A2" w:rsidRDefault="004965A2" w:rsidP="001043EF">
      <w:pPr>
        <w:spacing w:after="0" w:line="240" w:lineRule="auto"/>
      </w:pPr>
      <w:r>
        <w:separator/>
      </w:r>
    </w:p>
  </w:endnote>
  <w:endnote w:type="continuationSeparator" w:id="0">
    <w:p w14:paraId="3A2605BF" w14:textId="77777777" w:rsidR="004965A2" w:rsidRDefault="004965A2" w:rsidP="00104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CF122" w14:textId="77777777" w:rsidR="004965A2" w:rsidRDefault="004965A2" w:rsidP="001043EF">
      <w:pPr>
        <w:spacing w:after="0" w:line="240" w:lineRule="auto"/>
      </w:pPr>
      <w:r>
        <w:separator/>
      </w:r>
    </w:p>
  </w:footnote>
  <w:footnote w:type="continuationSeparator" w:id="0">
    <w:p w14:paraId="77BDE5E0" w14:textId="77777777" w:rsidR="004965A2" w:rsidRDefault="004965A2" w:rsidP="00104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E1985"/>
    <w:multiLevelType w:val="multilevel"/>
    <w:tmpl w:val="5598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8D7B0A"/>
    <w:multiLevelType w:val="multilevel"/>
    <w:tmpl w:val="FB6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05146">
    <w:abstractNumId w:val="0"/>
  </w:num>
  <w:num w:numId="2" w16cid:durableId="1741173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DD"/>
    <w:rsid w:val="000575BA"/>
    <w:rsid w:val="00073457"/>
    <w:rsid w:val="000F0C2E"/>
    <w:rsid w:val="001043EF"/>
    <w:rsid w:val="00194E64"/>
    <w:rsid w:val="002E1FDD"/>
    <w:rsid w:val="00300A7C"/>
    <w:rsid w:val="003850D3"/>
    <w:rsid w:val="00494568"/>
    <w:rsid w:val="004965A2"/>
    <w:rsid w:val="00546DB0"/>
    <w:rsid w:val="005C090C"/>
    <w:rsid w:val="005C6861"/>
    <w:rsid w:val="0067359D"/>
    <w:rsid w:val="00742332"/>
    <w:rsid w:val="00883B68"/>
    <w:rsid w:val="00987FE2"/>
    <w:rsid w:val="009E6FF6"/>
    <w:rsid w:val="009F0798"/>
    <w:rsid w:val="00A862FF"/>
    <w:rsid w:val="00AC0DA9"/>
    <w:rsid w:val="00B64CBB"/>
    <w:rsid w:val="00B971FF"/>
    <w:rsid w:val="00BA2733"/>
    <w:rsid w:val="00BE0188"/>
    <w:rsid w:val="00D81226"/>
    <w:rsid w:val="00D90773"/>
    <w:rsid w:val="00DD797F"/>
    <w:rsid w:val="00E36B02"/>
    <w:rsid w:val="00EC7DB0"/>
    <w:rsid w:val="00EF72B4"/>
    <w:rsid w:val="00F70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7D3DB"/>
  <w15:chartTrackingRefBased/>
  <w15:docId w15:val="{D6AB0B43-C0C8-4ADE-8891-84C5BC69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C2E"/>
    <w:pPr>
      <w:spacing w:line="259" w:lineRule="auto"/>
    </w:pPr>
    <w:rPr>
      <w:sz w:val="22"/>
      <w:szCs w:val="22"/>
    </w:rPr>
  </w:style>
  <w:style w:type="paragraph" w:styleId="Heading1">
    <w:name w:val="heading 1"/>
    <w:basedOn w:val="Normal"/>
    <w:next w:val="Normal"/>
    <w:link w:val="Heading1Char"/>
    <w:uiPriority w:val="9"/>
    <w:qFormat/>
    <w:rsid w:val="002E1FDD"/>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FDD"/>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FDD"/>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FDD"/>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2E1FDD"/>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2E1FDD"/>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2E1FDD"/>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E1FDD"/>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2E1FDD"/>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FDD"/>
    <w:rPr>
      <w:rFonts w:eastAsiaTheme="majorEastAsia" w:cstheme="majorBidi"/>
      <w:color w:val="272727" w:themeColor="text1" w:themeTint="D8"/>
    </w:rPr>
  </w:style>
  <w:style w:type="paragraph" w:styleId="Title">
    <w:name w:val="Title"/>
    <w:basedOn w:val="Normal"/>
    <w:next w:val="Normal"/>
    <w:link w:val="TitleChar"/>
    <w:uiPriority w:val="10"/>
    <w:qFormat/>
    <w:rsid w:val="002E1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FDD"/>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FDD"/>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2E1FDD"/>
    <w:rPr>
      <w:i/>
      <w:iCs/>
      <w:color w:val="404040" w:themeColor="text1" w:themeTint="BF"/>
    </w:rPr>
  </w:style>
  <w:style w:type="paragraph" w:styleId="ListParagraph">
    <w:name w:val="List Paragraph"/>
    <w:basedOn w:val="Normal"/>
    <w:uiPriority w:val="34"/>
    <w:qFormat/>
    <w:rsid w:val="002E1FDD"/>
    <w:pPr>
      <w:spacing w:line="278" w:lineRule="auto"/>
      <w:ind w:left="720"/>
      <w:contextualSpacing/>
    </w:pPr>
    <w:rPr>
      <w:sz w:val="24"/>
      <w:szCs w:val="24"/>
    </w:rPr>
  </w:style>
  <w:style w:type="character" w:styleId="IntenseEmphasis">
    <w:name w:val="Intense Emphasis"/>
    <w:basedOn w:val="DefaultParagraphFont"/>
    <w:uiPriority w:val="21"/>
    <w:qFormat/>
    <w:rsid w:val="002E1FDD"/>
    <w:rPr>
      <w:i/>
      <w:iCs/>
      <w:color w:val="0F4761" w:themeColor="accent1" w:themeShade="BF"/>
    </w:rPr>
  </w:style>
  <w:style w:type="paragraph" w:styleId="IntenseQuote">
    <w:name w:val="Intense Quote"/>
    <w:basedOn w:val="Normal"/>
    <w:next w:val="Normal"/>
    <w:link w:val="IntenseQuoteChar"/>
    <w:uiPriority w:val="30"/>
    <w:qFormat/>
    <w:rsid w:val="002E1FD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2E1FDD"/>
    <w:rPr>
      <w:i/>
      <w:iCs/>
      <w:color w:val="0F4761" w:themeColor="accent1" w:themeShade="BF"/>
    </w:rPr>
  </w:style>
  <w:style w:type="character" w:styleId="IntenseReference">
    <w:name w:val="Intense Reference"/>
    <w:basedOn w:val="DefaultParagraphFont"/>
    <w:uiPriority w:val="32"/>
    <w:qFormat/>
    <w:rsid w:val="002E1FDD"/>
    <w:rPr>
      <w:b/>
      <w:bCs/>
      <w:smallCaps/>
      <w:color w:val="0F4761" w:themeColor="accent1" w:themeShade="BF"/>
      <w:spacing w:val="5"/>
    </w:rPr>
  </w:style>
  <w:style w:type="paragraph" w:styleId="NormalWeb">
    <w:name w:val="Normal (Web)"/>
    <w:basedOn w:val="Normal"/>
    <w:uiPriority w:val="99"/>
    <w:semiHidden/>
    <w:unhideWhenUsed/>
    <w:rsid w:val="00987FE2"/>
    <w:rPr>
      <w:rFonts w:ascii="Times New Roman" w:hAnsi="Times New Roman" w:cs="Times New Roman"/>
      <w:sz w:val="24"/>
      <w:szCs w:val="24"/>
    </w:rPr>
  </w:style>
  <w:style w:type="character" w:styleId="Hyperlink">
    <w:name w:val="Hyperlink"/>
    <w:basedOn w:val="DefaultParagraphFont"/>
    <w:uiPriority w:val="99"/>
    <w:unhideWhenUsed/>
    <w:rsid w:val="00BA2733"/>
    <w:rPr>
      <w:color w:val="467886" w:themeColor="hyperlink"/>
      <w:u w:val="single"/>
    </w:rPr>
  </w:style>
  <w:style w:type="character" w:styleId="UnresolvedMention">
    <w:name w:val="Unresolved Mention"/>
    <w:basedOn w:val="DefaultParagraphFont"/>
    <w:uiPriority w:val="99"/>
    <w:semiHidden/>
    <w:unhideWhenUsed/>
    <w:rsid w:val="00BA2733"/>
    <w:rPr>
      <w:color w:val="605E5C"/>
      <w:shd w:val="clear" w:color="auto" w:fill="E1DFDD"/>
    </w:rPr>
  </w:style>
  <w:style w:type="paragraph" w:styleId="Header">
    <w:name w:val="header"/>
    <w:basedOn w:val="Normal"/>
    <w:link w:val="HeaderChar"/>
    <w:uiPriority w:val="99"/>
    <w:unhideWhenUsed/>
    <w:rsid w:val="00104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3EF"/>
    <w:rPr>
      <w:sz w:val="22"/>
      <w:szCs w:val="22"/>
    </w:rPr>
  </w:style>
  <w:style w:type="paragraph" w:styleId="Footer">
    <w:name w:val="footer"/>
    <w:basedOn w:val="Normal"/>
    <w:link w:val="FooterChar"/>
    <w:uiPriority w:val="99"/>
    <w:unhideWhenUsed/>
    <w:rsid w:val="00104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3EF"/>
    <w:rPr>
      <w:sz w:val="22"/>
      <w:szCs w:val="22"/>
    </w:rPr>
  </w:style>
  <w:style w:type="character" w:styleId="FollowedHyperlink">
    <w:name w:val="FollowedHyperlink"/>
    <w:basedOn w:val="DefaultParagraphFont"/>
    <w:uiPriority w:val="99"/>
    <w:semiHidden/>
    <w:unhideWhenUsed/>
    <w:rsid w:val="00B971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0708">
      <w:bodyDiv w:val="1"/>
      <w:marLeft w:val="0"/>
      <w:marRight w:val="0"/>
      <w:marTop w:val="0"/>
      <w:marBottom w:val="0"/>
      <w:divBdr>
        <w:top w:val="none" w:sz="0" w:space="0" w:color="auto"/>
        <w:left w:val="none" w:sz="0" w:space="0" w:color="auto"/>
        <w:bottom w:val="none" w:sz="0" w:space="0" w:color="auto"/>
        <w:right w:val="none" w:sz="0" w:space="0" w:color="auto"/>
      </w:divBdr>
    </w:div>
    <w:div w:id="213859268">
      <w:bodyDiv w:val="1"/>
      <w:marLeft w:val="0"/>
      <w:marRight w:val="0"/>
      <w:marTop w:val="0"/>
      <w:marBottom w:val="0"/>
      <w:divBdr>
        <w:top w:val="none" w:sz="0" w:space="0" w:color="auto"/>
        <w:left w:val="none" w:sz="0" w:space="0" w:color="auto"/>
        <w:bottom w:val="none" w:sz="0" w:space="0" w:color="auto"/>
        <w:right w:val="none" w:sz="0" w:space="0" w:color="auto"/>
      </w:divBdr>
    </w:div>
    <w:div w:id="220555225">
      <w:bodyDiv w:val="1"/>
      <w:marLeft w:val="0"/>
      <w:marRight w:val="0"/>
      <w:marTop w:val="0"/>
      <w:marBottom w:val="0"/>
      <w:divBdr>
        <w:top w:val="none" w:sz="0" w:space="0" w:color="auto"/>
        <w:left w:val="none" w:sz="0" w:space="0" w:color="auto"/>
        <w:bottom w:val="none" w:sz="0" w:space="0" w:color="auto"/>
        <w:right w:val="none" w:sz="0" w:space="0" w:color="auto"/>
      </w:divBdr>
    </w:div>
    <w:div w:id="346179203">
      <w:bodyDiv w:val="1"/>
      <w:marLeft w:val="0"/>
      <w:marRight w:val="0"/>
      <w:marTop w:val="0"/>
      <w:marBottom w:val="0"/>
      <w:divBdr>
        <w:top w:val="none" w:sz="0" w:space="0" w:color="auto"/>
        <w:left w:val="none" w:sz="0" w:space="0" w:color="auto"/>
        <w:bottom w:val="none" w:sz="0" w:space="0" w:color="auto"/>
        <w:right w:val="none" w:sz="0" w:space="0" w:color="auto"/>
      </w:divBdr>
    </w:div>
    <w:div w:id="540022336">
      <w:bodyDiv w:val="1"/>
      <w:marLeft w:val="0"/>
      <w:marRight w:val="0"/>
      <w:marTop w:val="0"/>
      <w:marBottom w:val="0"/>
      <w:divBdr>
        <w:top w:val="none" w:sz="0" w:space="0" w:color="auto"/>
        <w:left w:val="none" w:sz="0" w:space="0" w:color="auto"/>
        <w:bottom w:val="none" w:sz="0" w:space="0" w:color="auto"/>
        <w:right w:val="none" w:sz="0" w:space="0" w:color="auto"/>
      </w:divBdr>
    </w:div>
    <w:div w:id="590046439">
      <w:bodyDiv w:val="1"/>
      <w:marLeft w:val="0"/>
      <w:marRight w:val="0"/>
      <w:marTop w:val="0"/>
      <w:marBottom w:val="0"/>
      <w:divBdr>
        <w:top w:val="none" w:sz="0" w:space="0" w:color="auto"/>
        <w:left w:val="none" w:sz="0" w:space="0" w:color="auto"/>
        <w:bottom w:val="none" w:sz="0" w:space="0" w:color="auto"/>
        <w:right w:val="none" w:sz="0" w:space="0" w:color="auto"/>
      </w:divBdr>
    </w:div>
    <w:div w:id="705906381">
      <w:bodyDiv w:val="1"/>
      <w:marLeft w:val="0"/>
      <w:marRight w:val="0"/>
      <w:marTop w:val="0"/>
      <w:marBottom w:val="0"/>
      <w:divBdr>
        <w:top w:val="none" w:sz="0" w:space="0" w:color="auto"/>
        <w:left w:val="none" w:sz="0" w:space="0" w:color="auto"/>
        <w:bottom w:val="none" w:sz="0" w:space="0" w:color="auto"/>
        <w:right w:val="none" w:sz="0" w:space="0" w:color="auto"/>
      </w:divBdr>
    </w:div>
    <w:div w:id="1256672263">
      <w:bodyDiv w:val="1"/>
      <w:marLeft w:val="0"/>
      <w:marRight w:val="0"/>
      <w:marTop w:val="0"/>
      <w:marBottom w:val="0"/>
      <w:divBdr>
        <w:top w:val="none" w:sz="0" w:space="0" w:color="auto"/>
        <w:left w:val="none" w:sz="0" w:space="0" w:color="auto"/>
        <w:bottom w:val="none" w:sz="0" w:space="0" w:color="auto"/>
        <w:right w:val="none" w:sz="0" w:space="0" w:color="auto"/>
      </w:divBdr>
    </w:div>
    <w:div w:id="1309016552">
      <w:bodyDiv w:val="1"/>
      <w:marLeft w:val="0"/>
      <w:marRight w:val="0"/>
      <w:marTop w:val="0"/>
      <w:marBottom w:val="0"/>
      <w:divBdr>
        <w:top w:val="none" w:sz="0" w:space="0" w:color="auto"/>
        <w:left w:val="none" w:sz="0" w:space="0" w:color="auto"/>
        <w:bottom w:val="none" w:sz="0" w:space="0" w:color="auto"/>
        <w:right w:val="none" w:sz="0" w:space="0" w:color="auto"/>
      </w:divBdr>
    </w:div>
    <w:div w:id="1595242661">
      <w:bodyDiv w:val="1"/>
      <w:marLeft w:val="0"/>
      <w:marRight w:val="0"/>
      <w:marTop w:val="0"/>
      <w:marBottom w:val="0"/>
      <w:divBdr>
        <w:top w:val="none" w:sz="0" w:space="0" w:color="auto"/>
        <w:left w:val="none" w:sz="0" w:space="0" w:color="auto"/>
        <w:bottom w:val="none" w:sz="0" w:space="0" w:color="auto"/>
        <w:right w:val="none" w:sz="0" w:space="0" w:color="auto"/>
      </w:divBdr>
    </w:div>
    <w:div w:id="1899776954">
      <w:bodyDiv w:val="1"/>
      <w:marLeft w:val="0"/>
      <w:marRight w:val="0"/>
      <w:marTop w:val="0"/>
      <w:marBottom w:val="0"/>
      <w:divBdr>
        <w:top w:val="none" w:sz="0" w:space="0" w:color="auto"/>
        <w:left w:val="none" w:sz="0" w:space="0" w:color="auto"/>
        <w:bottom w:val="none" w:sz="0" w:space="0" w:color="auto"/>
        <w:right w:val="none" w:sz="0" w:space="0" w:color="auto"/>
      </w:divBdr>
    </w:div>
    <w:div w:id="194510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xp.com/products/i.MX-RT1060" TargetMode="External"/><Relationship Id="rId3" Type="http://schemas.openxmlformats.org/officeDocument/2006/relationships/settings" Target="settings.xml"/><Relationship Id="rId7" Type="http://schemas.openxmlformats.org/officeDocument/2006/relationships/hyperlink" Target="https://www.microchip.com/design-centers/32-b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729</Words>
  <Characters>4159</Characters>
  <Application>Microsoft Office Word</Application>
  <DocSecurity>0</DocSecurity>
  <Lines>34</Lines>
  <Paragraphs>9</Paragraphs>
  <ScaleCrop>false</ScaleCrop>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Vangosen, Cody</dc:creator>
  <cp:keywords/>
  <dc:description/>
  <cp:lastModifiedBy>Cody Vangosen</cp:lastModifiedBy>
  <cp:revision>21</cp:revision>
  <dcterms:created xsi:type="dcterms:W3CDTF">2025-03-10T04:39:00Z</dcterms:created>
  <dcterms:modified xsi:type="dcterms:W3CDTF">2025-04-14T02:06:00Z</dcterms:modified>
</cp:coreProperties>
</file>