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8B0000"/>
          <w:sz w:val="48"/>
          <w:szCs w:val="48"/>
        </w:rPr>
        <w:t xml:space="preserve">Interpreting Tables &amp; Output</w:t>
      </w:r>
    </w:p>
    <w:p>
      <w:pPr>
        <w:spacing w:after="200"/>
        <w:jc w:val="center"/>
      </w:pPr>
      <w:r>
        <w:rPr>
          <w:rFonts w:ascii="Arial" w:cs="Arial" w:eastAsia="Arial" w:hAnsi="Arial"/>
          <w:color w:val="2C2C2C"/>
          <w:sz w:val="26"/>
          <w:szCs w:val="26"/>
        </w:rPr>
        <w:t xml:space="preserve">A Companion Guide for the Hierarchical Regression Dashboard</w:t>
      </w:r>
    </w:p>
    <w:p>
      <w:pPr>
        <w:spacing w:after="200"/>
        <w:jc w:val="center"/>
      </w:pPr>
      <w:r>
        <w:rPr>
          <w:rFonts w:ascii="Arial" w:cs="Arial" w:eastAsia="Arial" w:hAnsi="Arial"/>
          <w:color w:val="888888"/>
          <w:sz w:val="22"/>
          <w:szCs w:val="22"/>
        </w:rPr>
        <w:t xml:space="preserve">Designed for Master’s-Level I/O Psychology Students</w:t>
      </w:r>
    </w:p>
    <w:p>
      <w:pPr>
        <w:spacing w:after="600"/>
        <w:jc w:val="center"/>
      </w:pPr>
      <w:r>
        <w:rPr>
          <w:rFonts w:ascii="Arial" w:cs="Arial" w:eastAsia="Arial" w:hAnsi="Arial"/>
          <w:color w:val="888888"/>
          <w:sz w:val="22"/>
          <w:szCs w:val="22"/>
        </w:rPr>
        <w:t xml:space="preserve">March 2026</w:t>
      </w:r>
    </w:p>
    <w:p>
      <w:r>
        <w:br w:type="page"/>
      </w:r>
    </w:p>
    <w:p>
      <w:pPr>
        <w:pStyle w:val="Heading1"/>
        <w:spacing w:before="300" w:after="150"/>
      </w:pPr>
      <w:r>
        <w:t xml:space="preserve">1. Variable Information Table</w:t>
      </w:r>
    </w:p>
    <w:p>
      <w:pPr>
        <w:spacing w:after="120"/>
      </w:pPr>
      <w:r>
        <w:rPr>
          <w:rFonts w:ascii="Arial" w:cs="Arial" w:eastAsia="Arial" w:hAnsi="Arial"/>
          <w:color w:val="2C2C2C"/>
          <w:sz w:val="22"/>
          <w:szCs w:val="22"/>
        </w:rPr>
        <w:t xml:space="preserve">Located on Tab 2 (Variables), this table helps you understand how the application classified each variable in your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93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93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variable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column name from your dataset, cleaned to lowercase with underscores.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Verify these match your expected variable names.</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class</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R data type (e.g., numeric, character, factor). If a variable has multiple classes, they are comma-separated.</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Numeric variables can be used as DVs or continuous IVs. Character/factor variables are treated as categorical.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n_missing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Count of NA or blank cells for this variable.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High missing counts reduce your usable sample size in regression (listwise deletion).</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pct_missing</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Percentage of rows with missing data on this variable, shown as a decimal (e.g., 0.050 = 5%).</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Variables with &gt;10% missing may warrant imputation or exclusion.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n_unique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Number of distinct values in the variable.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Variables where n_unique equals the row count are likely identifiers (e.g., participant ID). Variables with very few unique values (≤6) are classified as categorical.</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suggested_type</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app’s classification: continuous (numeric, &gt;6 unique values), categorical (factor/character or ≤6 unique values), or identifier (unique per row).</w:t>
            </w:r>
          </w:p>
        </w:tc>
        <w:tc>
          <w:tcPr>
            <w:tcW w:type="dxa" w:w="393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If a variable is misclassified, you can still select it freely; this is a suggestion, not a constraint.</w:t>
            </w:r>
          </w:p>
        </w:tc>
      </w:tr>
    </w:tbl>
    <w:p>
      <w:r>
        <w:br w:type="page"/>
      </w:r>
    </w:p>
    <w:p>
      <w:pPr>
        <w:pStyle w:val="Heading1"/>
        <w:spacing w:before="300" w:after="150"/>
      </w:pPr>
      <w:r>
        <w:t xml:space="preserve">2. Descriptive Statistics: Continuous Variables</w:t>
      </w:r>
    </w:p>
    <w:p>
      <w:pPr>
        <w:spacing w:after="120"/>
      </w:pPr>
      <w:r>
        <w:rPr>
          <w:rFonts w:ascii="Arial" w:cs="Arial" w:eastAsia="Arial" w:hAnsi="Arial"/>
          <w:color w:val="2C2C2C"/>
          <w:sz w:val="22"/>
          <w:szCs w:val="22"/>
        </w:rPr>
        <w:t xml:space="preserve">Located on Tab 3, this table provides the standard set of descriptive statistics for every continuous variable in your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60"/>
      </w:tblGrid>
      <w:tr>
        <w:tc>
          <w:tcPr>
            <w:tcW w:type="dxa" w:w="13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2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variable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variable name.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Number of non-missing observations for this variable.</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Compare across variables to detect differential missingness.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arithmetic average: sum of all values divided by 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central tendency of the variable. Compare to the median to assess skewness.</w:t>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sd</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Standard deviation: the average distance of observations from the mean.</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Larger SD means more spread. If SD is close to the mean, your data has high variability.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Standard error of the mean: SD divided by √n.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Reflects precision of the sample mean as an estimate of the population mean. Smaller = more precise.</w:t>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min</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Smallest observed value.</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Check for implausible values (e.g., negative age).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q25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25th percentile (first quartile): 25% of values fall below this.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Together with q75, defines the interquartile range (IQR).</w:t>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median</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50th percentile: the middle value when data is sorted.</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If mean ≠ median, the distribution is skewed.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q75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75th percentile (third quartile): 75% of values fall below this.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IQR = q75 – q25. A common basis for detecting outliers.</w:t>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max</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Largest observed value.</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Check for implausible values or data entry errors.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skewness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Measure of asymmetry. Zero = symmetric. Positive = right-skewed (tail extends right). Negative = left-skewed.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Values between –1 and +1 are generally acceptable. Beyond ±2, consider log or square root transformations.</w:t>
            </w:r>
          </w:p>
        </w:tc>
      </w:tr>
      <w:tr>
        <w:tc>
          <w:tcPr>
            <w:tcW w:type="dxa" w:w="13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kurtosis</w:t>
            </w:r>
          </w:p>
        </w:tc>
        <w:tc>
          <w:tcPr>
            <w:tcW w:type="dxa" w:w="3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Excess kurtosis (above the normal distribution’s value of 3). Positive = heavier tails (leptokurtic). Negative = lighter tails (platykurtic).</w:t>
            </w:r>
          </w:p>
        </w:tc>
        <w:tc>
          <w:tcPr>
            <w:tcW w:type="dxa" w:w="42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Values between –2 and +2 are acceptable. High kurtosis means more extreme values than expected.</w:t>
            </w:r>
          </w:p>
        </w:tc>
      </w:tr>
    </w:tbl>
    <w:p>
      <w:r>
        <w:br w:type="page"/>
      </w:r>
    </w:p>
    <w:p>
      <w:pPr>
        <w:pStyle w:val="Heading1"/>
        <w:spacing w:before="300" w:after="150"/>
      </w:pPr>
      <w:r>
        <w:t xml:space="preserve">3. Correlation Matrix Heatmap</w:t>
      </w:r>
    </w:p>
    <w:p>
      <w:pPr>
        <w:spacing w:after="120"/>
      </w:pPr>
      <w:r>
        <w:rPr>
          <w:rFonts w:ascii="Arial" w:cs="Arial" w:eastAsia="Arial" w:hAnsi="Arial"/>
          <w:color w:val="2C2C2C"/>
          <w:sz w:val="22"/>
          <w:szCs w:val="22"/>
        </w:rPr>
        <w:t xml:space="preserve">This interactive heatmap on Tab 3 displays Pearson bivariate correlations among all continuous variables in your model.</w:t>
      </w:r>
    </w:p>
    <w:p>
      <w:pPr>
        <w:pStyle w:val="Heading2"/>
        <w:spacing w:before="300" w:after="150"/>
      </w:pPr>
      <w:r>
        <w:t xml:space="preserve">Reading the Heatmap</w:t>
      </w:r>
    </w:p>
    <w:p>
      <w:pPr>
        <w:pStyle w:val="ListParagraph"/>
        <w:numPr>
          <w:ilvl w:val="0"/>
          <w:numId w:val="2"/>
        </w:numPr>
        <w:spacing w:after="60"/>
      </w:pPr>
      <w:r>
        <w:rPr>
          <w:rFonts w:ascii="Arial" w:cs="Arial" w:eastAsia="Arial" w:hAnsi="Arial"/>
          <w:color w:val="2C2C2C"/>
          <w:sz w:val="22"/>
          <w:szCs w:val="22"/>
        </w:rPr>
        <w:t xml:space="preserve">Each cell shows the correlation coefficient (r) between two variables, ranging from –1.00 to +1.00.</w:t>
      </w:r>
    </w:p>
    <w:p>
      <w:pPr>
        <w:pStyle w:val="ListParagraph"/>
        <w:numPr>
          <w:ilvl w:val="0"/>
          <w:numId w:val="2"/>
        </w:numPr>
        <w:spacing w:after="60"/>
      </w:pPr>
      <w:r>
        <w:rPr>
          <w:rFonts w:ascii="Arial" w:cs="Arial" w:eastAsia="Arial" w:hAnsi="Arial"/>
          <w:color w:val="2C2C2C"/>
          <w:sz w:val="22"/>
          <w:szCs w:val="22"/>
        </w:rPr>
        <w:t xml:space="preserve">Color coding: Red = negative correlation, White = near zero, Navy blue = positive correlation.</w:t>
      </w:r>
    </w:p>
    <w:p>
      <w:pPr>
        <w:pStyle w:val="ListParagraph"/>
        <w:numPr>
          <w:ilvl w:val="0"/>
          <w:numId w:val="2"/>
        </w:numPr>
        <w:spacing w:after="60"/>
      </w:pPr>
      <w:r>
        <w:rPr>
          <w:rFonts w:ascii="Arial" w:cs="Arial" w:eastAsia="Arial" w:hAnsi="Arial"/>
          <w:color w:val="2C2C2C"/>
          <w:sz w:val="22"/>
          <w:szCs w:val="22"/>
        </w:rPr>
        <w:t xml:space="preserve">Significance stars: * p &lt; .05, ** p &lt; .01, *** p &lt; .001.</w:t>
      </w:r>
    </w:p>
    <w:p>
      <w:pPr>
        <w:pStyle w:val="ListParagraph"/>
        <w:numPr>
          <w:ilvl w:val="0"/>
          <w:numId w:val="2"/>
        </w:numPr>
        <w:spacing w:after="60"/>
      </w:pPr>
      <w:r>
        <w:rPr>
          <w:rFonts w:ascii="Arial" w:cs="Arial" w:eastAsia="Arial" w:hAnsi="Arial"/>
          <w:color w:val="2C2C2C"/>
          <w:sz w:val="22"/>
          <w:szCs w:val="22"/>
        </w:rPr>
        <w:t xml:space="preserve">The diagonal is always 1.00 (a variable correlates perfectly with itself).</w:t>
      </w:r>
    </w:p>
    <w:p>
      <w:pPr>
        <w:pStyle w:val="ListParagraph"/>
        <w:numPr>
          <w:ilvl w:val="0"/>
          <w:numId w:val="2"/>
        </w:numPr>
        <w:spacing w:after="60"/>
      </w:pPr>
      <w:r>
        <w:rPr>
          <w:rFonts w:ascii="Arial" w:cs="Arial" w:eastAsia="Arial" w:hAnsi="Arial"/>
          <w:color w:val="2C2C2C"/>
          <w:sz w:val="22"/>
          <w:szCs w:val="22"/>
        </w:rPr>
        <w:t xml:space="preserve">The matrix is symmetric; the upper and lower triangles contain the same information.</w:t>
      </w:r>
    </w:p>
    <w:p>
      <w:pPr>
        <w:pStyle w:val="Heading2"/>
        <w:spacing w:before="300" w:after="150"/>
      </w:pPr>
      <w:r>
        <w:t xml:space="preserve">Key Interpretation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|r| Range</w:t>
            </w:r>
          </w:p>
        </w:tc>
        <w:tc>
          <w:tcPr>
            <w:tcW w:type="dxa" w:w="3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Strength (Cohen, 1988)</w:t>
            </w:r>
          </w:p>
        </w:tc>
        <w:tc>
          <w:tcPr>
            <w:tcW w:type="dxa" w:w="38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Practical 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.00 – .09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Negligible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meaningful linear relationship</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.10 – .29</w:t>
            </w:r>
          </w:p>
        </w:tc>
        <w:tc>
          <w:tcPr>
            <w:tcW w:type="dxa" w:w="3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Small</w:t>
            </w:r>
          </w:p>
        </w:tc>
        <w:tc>
          <w:tcPr>
            <w:tcW w:type="dxa" w:w="3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Weak but potentially meaningful relationship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.30 – .49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Moderate relationship; typically noteworthy</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.50+</w:t>
            </w:r>
          </w:p>
        </w:tc>
        <w:tc>
          <w:tcPr>
            <w:tcW w:type="dxa" w:w="3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Large</w:t>
            </w:r>
          </w:p>
        </w:tc>
        <w:tc>
          <w:tcPr>
            <w:tcW w:type="dxa" w:w="3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Strong relationship; check for multicollinearity if between predictors</w:t>
            </w:r>
          </w:p>
        </w:tc>
      </w:tr>
    </w:tbl>
    <w:p>
      <w:pPr>
        <w:pBdr>
          <w:left w:val="single" w:color="C5A95F" w:sz="6"/>
        </w:pBdr>
        <w:spacing w:before="100" w:after="100"/>
        <w:ind w:left="360" w:right="360"/>
      </w:pPr>
      <w:r>
        <w:rPr>
          <w:rFonts w:ascii="Arial" w:cs="Arial" w:eastAsia="Arial" w:hAnsi="Arial"/>
          <w:b/>
          <w:bCs/>
          <w:color w:val="8B0000"/>
          <w:sz w:val="22"/>
          <w:szCs w:val="22"/>
        </w:rPr>
        <w:t xml:space="preserve">Note: </w:t>
      </w:r>
      <w:r>
        <w:rPr>
          <w:rFonts w:ascii="Arial" w:cs="Arial" w:eastAsia="Arial" w:hAnsi="Arial"/>
          <w:color w:val="2C2C2C"/>
          <w:sz w:val="22"/>
          <w:szCs w:val="22"/>
        </w:rPr>
        <w:t xml:space="preserve">Correlations between predictors above |r| = .80 suggest severe multicollinearity. The VIF analysis on the Assumptions tab provides a more formal test.</w:t>
      </w:r>
    </w:p>
    <w:p>
      <w:r>
        <w:br w:type="page"/>
      </w:r>
    </w:p>
    <w:p>
      <w:pPr>
        <w:pStyle w:val="Heading1"/>
        <w:spacing w:before="300" w:after="150"/>
      </w:pPr>
      <w:r>
        <w:t xml:space="preserve">4. Model Comparison (Hierarchical) Table</w:t>
      </w:r>
    </w:p>
    <w:p>
      <w:pPr>
        <w:spacing w:after="120"/>
      </w:pPr>
      <w:r>
        <w:rPr>
          <w:rFonts w:ascii="Arial" w:cs="Arial" w:eastAsia="Arial" w:hAnsi="Arial"/>
          <w:color w:val="2C2C2C"/>
          <w:sz w:val="22"/>
          <w:szCs w:val="22"/>
        </w:rPr>
        <w:t xml:space="preserve">This table appears on Tab 4 when your model has 2 or more blocks. It shows how the model evolves as blocks are added.</w:t>
      </w:r>
    </w:p>
    <w:p>
      <w:pPr>
        <w:pStyle w:val="Heading2"/>
        <w:spacing w:before="300" w:after="150"/>
      </w:pPr>
      <w:r>
        <w:t xml:space="preserve">Coefficient Rows</w:t>
      </w:r>
    </w:p>
    <w:p>
      <w:pPr>
        <w:spacing w:after="120"/>
      </w:pPr>
      <w:r>
        <w:rPr>
          <w:rFonts w:ascii="Arial" w:cs="Arial" w:eastAsia="Arial" w:hAnsi="Arial"/>
          <w:color w:val="2C2C2C"/>
          <w:sz w:val="22"/>
          <w:szCs w:val="22"/>
        </w:rPr>
        <w:t xml:space="preserve">Each predictor has one row. The columns correspond to each block (model step). Values show the unstandardized coefficient B followed by the standard error in parentheses: e.g., “0.064 (0.080)”. Significance stars are appended: * p &lt; .05, ** p &lt; .01, *** p &lt; .001. A blank cell means that predictor was not yet in the model at that step.</w:t>
      </w:r>
    </w:p>
    <w:p>
      <w:pPr>
        <w:pStyle w:val="Heading2"/>
        <w:spacing w:before="300" w:after="150"/>
      </w:pPr>
      <w:r>
        <w:t xml:space="preserve">Model Statistics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Row Label</w:t>
            </w:r>
          </w:p>
        </w:tc>
        <w:tc>
          <w:tcPr>
            <w:tcW w:type="dxa" w:w="4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R²</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Total proportion of variance in the DV explained by all predictors at that step. Ranges from 0 to 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Increases (or stays the same) with each block. Compare across blocks to see cumulative explanatory power.</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ΔR²</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R-squared change: the additional variance explained by the new predictors in that block, beyond what the previous block already explained.</w:t>
            </w:r>
          </w:p>
        </w:tc>
        <w:tc>
          <w:tcPr>
            <w:tcW w:type="dxa" w:w="36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This is the key statistic for hierarchical regression. A large ΔR² means the new block contributes substantial unique explanatory power.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overall F-statistic for the model at that step. Tests whether the full model at that step explains significantly more variance than a model with no predictors.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Should be statistically significant (p &lt; .05) for the model to be considered useful overall.</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ΔF</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F-change: tests whether the ΔR² for that block is statistically significant. Calculated by comparing the current model to the previous model using an incremental F-test.</w:t>
            </w:r>
          </w:p>
        </w:tc>
        <w:tc>
          <w:tcPr>
            <w:tcW w:type="dxa" w:w="36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This is the formal test of whether adding this block’s predictors meaningfully improves the model. Non-significant ΔF means the new predictors did not add value.</w:t>
            </w:r>
          </w:p>
        </w:tc>
      </w:tr>
    </w:tbl>
    <w:p>
      <w:pPr>
        <w:pBdr>
          <w:left w:val="single" w:color="C5A95F" w:sz="6"/>
        </w:pBdr>
        <w:spacing w:before="100" w:after="100"/>
        <w:ind w:left="360" w:right="360"/>
      </w:pPr>
      <w:r>
        <w:rPr>
          <w:rFonts w:ascii="Arial" w:cs="Arial" w:eastAsia="Arial" w:hAnsi="Arial"/>
          <w:b/>
          <w:bCs/>
          <w:color w:val="8B0000"/>
          <w:sz w:val="22"/>
          <w:szCs w:val="22"/>
        </w:rPr>
        <w:t xml:space="preserve">Note: </w:t>
      </w:r>
      <w:r>
        <w:rPr>
          <w:rFonts w:ascii="Arial" w:cs="Arial" w:eastAsia="Arial" w:hAnsi="Arial"/>
          <w:color w:val="2C2C2C"/>
          <w:sz w:val="22"/>
          <w:szCs w:val="22"/>
        </w:rPr>
        <w:t xml:space="preserve">The first block shows “–” for ΔR² and ΔF because there is no prior model to compare against. The F value for Block 1 serves this purpose.</w:t>
      </w:r>
    </w:p>
    <w:p>
      <w:r>
        <w:br w:type="page"/>
      </w:r>
    </w:p>
    <w:p>
      <w:pPr>
        <w:pStyle w:val="Heading1"/>
        <w:spacing w:before="300" w:after="150"/>
      </w:pPr>
      <w:r>
        <w:t xml:space="preserve">5. Final Model Coefficients Table</w:t>
      </w:r>
    </w:p>
    <w:p>
      <w:pPr>
        <w:spacing w:after="120"/>
      </w:pPr>
      <w:r>
        <w:rPr>
          <w:rFonts w:ascii="Arial" w:cs="Arial" w:eastAsia="Arial" w:hAnsi="Arial"/>
          <w:color w:val="2C2C2C"/>
          <w:sz w:val="22"/>
          <w:szCs w:val="22"/>
        </w:rPr>
        <w:t xml:space="preserve">This is the most comprehensive output table in the application. It shows every predictor in the final model (including all blocks) with a full set of regression statistics. Understanding each column is essential for proper interpretation and APA-style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1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Predictor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Predictor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variable name. For categorical variables, R appends the level name (e.g., genderFemale means the coefficient for Female relative to the reference category).</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B (Unstd.)</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Unstandardized Coefficient</w:t>
            </w:r>
          </w:p>
        </w:tc>
        <w:tc>
          <w:tcPr>
            <w:tcW w:type="dxa" w:w="61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raw slope: for every 1-unit increase in this predictor, the DV is expected to change by B units, holding all other predictors constant. Interpretation depends on the scales of both the predictor and the DV.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β (Std.)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Standardized Coefficient (Beta)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coefficient when both the predictor and DV are standardized (converted to z-scores). Allows direct comparison of predictor importance within the model because all variables are on the same scale. Ranges typically from –1 to +1.</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SE</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Standard Error</w:t>
            </w:r>
          </w:p>
        </w:tc>
        <w:tc>
          <w:tcPr>
            <w:tcW w:type="dxa" w:w="61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estimated standard deviation of the sampling distribution of B. Reflects the precision of the coefficient estimate. Shown in parentheses per APA convention.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t-statistic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 divided by SE. Tests the null hypothesis that the population coefficient is zero. Larger absolute values indicate stronger evidence against H₀.</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p-value</w:t>
            </w:r>
          </w:p>
        </w:tc>
        <w:tc>
          <w:tcPr>
            <w:tcW w:type="dxa" w:w="61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probability of observing a t-value this extreme (or more) if the true coefficient were zero. Significance codes: *** p &lt; .001, ** p &lt; .01, * p &lt; .05, . p &lt;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95% CI 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Lower Bound of 95% Confidence Interval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lower bound of the interval estimated to contain the true population coefficient 95% of the time. If this value and CI High are both positive (or both negative), the effect is significant at p &lt; .05.</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95% CI High</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Upper Bound of 95% Confidence Interval</w:t>
            </w:r>
          </w:p>
        </w:tc>
        <w:tc>
          <w:tcPr>
            <w:tcW w:type="dxa" w:w="61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upper bound. Together with CI Low, provides a range of plausible values for the true coefficient.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Partial Correlation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correlation between the predictor and DV after removing the linear effects of all other predictors from both. Reflects the unique linear association. Calculated from the t-statistic: pr = t / √(t² + df).</w:t>
            </w:r>
          </w:p>
        </w:tc>
      </w:tr>
      <w:tr>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sr</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Semi-Partial (Part) Correlation</w:t>
            </w:r>
          </w:p>
        </w:tc>
        <w:tc>
          <w:tcPr>
            <w:tcW w:type="dxa" w:w="61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correlation between the predictor (with other predictors partialed out) and the raw DV. Unlike pr, it does not partial other predictors from the DV. Represents the unique contribution to the overall correlation.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Squared Semi-Partial Correlation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proportion of total variance in the DV uniquely explained by this predictor, beyond all others. This is the most directly interpretable effect size for individual predictors. Sum of all sr² values will be less than R² because of shared variance.</w:t>
            </w:r>
          </w:p>
        </w:tc>
      </w:tr>
    </w:tbl>
    <w:p>
      <w:r>
        <w:br w:type="page"/>
      </w:r>
    </w:p>
    <w:p>
      <w:pPr>
        <w:pStyle w:val="Heading2"/>
        <w:spacing w:before="300" w:after="150"/>
      </w:pPr>
      <w:r>
        <w:t xml:space="preserve">Interpreting B vs. β</w:t>
      </w:r>
    </w:p>
    <w:p>
      <w:pPr>
        <w:spacing w:after="120"/>
      </w:pPr>
      <w:r>
        <w:rPr>
          <w:rFonts w:ascii="Arial" w:cs="Arial" w:eastAsia="Arial" w:hAnsi="Arial"/>
          <w:color w:val="2C2C2C"/>
          <w:sz w:val="22"/>
          <w:szCs w:val="22"/>
        </w:rPr>
        <w:t xml:space="preserve">A common source of confusion is when to report B versus β:</w:t>
      </w:r>
    </w:p>
    <w:p>
      <w:pPr>
        <w:pStyle w:val="ListParagraph"/>
        <w:numPr>
          <w:ilvl w:val="0"/>
          <w:numId w:val="2"/>
        </w:numPr>
        <w:spacing w:after="60"/>
      </w:pPr>
      <w:r>
        <w:rPr>
          <w:rFonts w:ascii="Arial" w:cs="Arial" w:eastAsia="Arial" w:hAnsi="Arial"/>
          <w:color w:val="2C2C2C"/>
          <w:sz w:val="22"/>
          <w:szCs w:val="22"/>
        </w:rPr>
        <w:t xml:space="preserve">Report B (unstandardized) when the predictor’s original scale is meaningful and interpretable (e.g., “for each additional year of tenure, satisfaction increases by 0.019 points”).</w:t>
      </w:r>
    </w:p>
    <w:p>
      <w:pPr>
        <w:pStyle w:val="ListParagraph"/>
        <w:numPr>
          <w:ilvl w:val="0"/>
          <w:numId w:val="2"/>
        </w:numPr>
        <w:spacing w:after="60"/>
      </w:pPr>
      <w:r>
        <w:rPr>
          <w:rFonts w:ascii="Arial" w:cs="Arial" w:eastAsia="Arial" w:hAnsi="Arial"/>
          <w:color w:val="2C2C2C"/>
          <w:sz w:val="22"/>
          <w:szCs w:val="22"/>
        </w:rPr>
        <w:t xml:space="preserve">Report β (standardized) when comparing the relative importance of predictors measured on different scales (e.g., comparing tenure in years to autonomy on a 1–5 Likert scale).</w:t>
      </w:r>
    </w:p>
    <w:p>
      <w:pPr>
        <w:pStyle w:val="ListParagraph"/>
        <w:numPr>
          <w:ilvl w:val="0"/>
          <w:numId w:val="2"/>
        </w:numPr>
        <w:spacing w:after="60"/>
      </w:pPr>
      <w:r>
        <w:rPr>
          <w:rFonts w:ascii="Arial" w:cs="Arial" w:eastAsia="Arial" w:hAnsi="Arial"/>
          <w:color w:val="2C2C2C"/>
          <w:sz w:val="22"/>
          <w:szCs w:val="22"/>
        </w:rPr>
        <w:t xml:space="preserve">Many APA-style results sections report both, with B and SE in the main text and β noted alongside or in a table column.</w:t>
      </w:r>
    </w:p>
    <w:p>
      <w:pPr>
        <w:pStyle w:val="Heading2"/>
        <w:spacing w:before="300" w:after="150"/>
      </w:pPr>
      <w:r>
        <w:t xml:space="preserve">Interpreting Partial vs. Semi-Partial Correlations</w:t>
      </w:r>
    </w:p>
    <w:p>
      <w:pPr>
        <w:spacing w:after="120"/>
      </w:pPr>
      <w:r>
        <w:rPr>
          <w:rFonts w:ascii="Arial" w:cs="Arial" w:eastAsia="Arial" w:hAnsi="Arial"/>
          <w:color w:val="2C2C2C"/>
          <w:sz w:val="22"/>
          <w:szCs w:val="22"/>
        </w:rPr>
        <w:t xml:space="preserve">Both pr and sr measure a predictor’s unique relationship with the DV, but they answer slightly different questions:</w:t>
      </w:r>
    </w:p>
    <w:p>
      <w:pPr>
        <w:pStyle w:val="ListParagraph"/>
        <w:numPr>
          <w:ilvl w:val="0"/>
          <w:numId w:val="2"/>
        </w:numPr>
        <w:spacing w:after="60"/>
      </w:pPr>
      <w:r>
        <w:rPr>
          <w:rFonts w:ascii="Arial" w:cs="Arial" w:eastAsia="Arial" w:hAnsi="Arial"/>
          <w:color w:val="2C2C2C"/>
          <w:sz w:val="22"/>
          <w:szCs w:val="22"/>
        </w:rPr>
        <w:t xml:space="preserve">Partial correlation (pr): “How strong is the relationship between this predictor and the DV when we remove the influence of all other predictors from both?” This is what the partial regression plots visualize.</w:t>
      </w:r>
    </w:p>
    <w:p>
      <w:pPr>
        <w:pStyle w:val="ListParagraph"/>
        <w:numPr>
          <w:ilvl w:val="0"/>
          <w:numId w:val="2"/>
        </w:numPr>
        <w:spacing w:after="60"/>
      </w:pPr>
      <w:r>
        <w:rPr>
          <w:rFonts w:ascii="Arial" w:cs="Arial" w:eastAsia="Arial" w:hAnsi="Arial"/>
          <w:color w:val="2C2C2C"/>
          <w:sz w:val="22"/>
          <w:szCs w:val="22"/>
        </w:rPr>
        <w:t xml:space="preserve">Semi-partial correlation (sr): “How much does this predictor uniquely add to predicting the DV?” The squared value (sr²) directly tells you the unique proportion of total DV variance explained.</w:t>
      </w:r>
    </w:p>
    <w:p>
      <w:pPr>
        <w:pStyle w:val="ListParagraph"/>
        <w:numPr>
          <w:ilvl w:val="0"/>
          <w:numId w:val="2"/>
        </w:numPr>
        <w:spacing w:after="60"/>
      </w:pPr>
      <w:r>
        <w:rPr>
          <w:rFonts w:ascii="Arial" w:cs="Arial" w:eastAsia="Arial" w:hAnsi="Arial"/>
          <w:color w:val="2C2C2C"/>
          <w:sz w:val="22"/>
          <w:szCs w:val="22"/>
        </w:rPr>
        <w:t xml:space="preserve">pr is always larger than or equal to sr because it removes shared variance from the DV as well, making the denominator smaller.</w:t>
      </w:r>
    </w:p>
    <w:p>
      <w:pPr>
        <w:pStyle w:val="Heading2"/>
        <w:spacing w:before="300" w:after="150"/>
      </w:pPr>
      <w:r>
        <w:t xml:space="preserve">Reading the Significance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3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Conventional Interpretation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 &lt; .001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Very strong evidence against H₀; highly significant</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 &lt; .01</w:t>
            </w:r>
          </w:p>
        </w:tc>
        <w:tc>
          <w:tcPr>
            <w:tcW w:type="dxa" w:w="53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Strong evidence; significant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 &lt; .05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Sufficient evidence; significant at the conventional threshold</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2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 &lt; .10</w:t>
            </w:r>
          </w:p>
        </w:tc>
        <w:tc>
          <w:tcPr>
            <w:tcW w:type="dxa" w:w="53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Marginal; not significant by conventional standards but may warrant discussion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 ≥ .10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Not significant; insufficient evidence to reject H₀</w:t>
            </w:r>
          </w:p>
        </w:tc>
      </w:tr>
    </w:tbl>
    <w:p>
      <w:r>
        <w:br w:type="page"/>
      </w:r>
    </w:p>
    <w:p>
      <w:pPr>
        <w:pStyle w:val="Heading1"/>
        <w:spacing w:before="300" w:after="150"/>
      </w:pPr>
      <w:r>
        <w:t xml:space="preserve">6. Model Summary Info Boxes</w:t>
      </w:r>
    </w:p>
    <w:p>
      <w:pPr>
        <w:spacing w:after="120"/>
      </w:pPr>
      <w:r>
        <w:rPr>
          <w:rFonts w:ascii="Arial" w:cs="Arial" w:eastAsia="Arial" w:hAnsi="Arial"/>
          <w:color w:val="2C2C2C"/>
          <w:sz w:val="22"/>
          <w:szCs w:val="22"/>
        </w:rPr>
        <w:t xml:space="preserve">The Model Summary panel on Tab 4 displays three info boxes and the overall F-test.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3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R²</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Coefficient of determination. The proportion of variance in the DV explained by all predictors in the model.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R² = .015 means the model explains 1.5% of the variance. In I/O psychology, R² values of .02, .13, and .26 correspond roughly to small, medium, and large effects (Cohen, 1988).</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Adj. R²</w:t>
            </w:r>
          </w:p>
        </w:tc>
        <w:tc>
          <w:tcPr>
            <w:tcW w:type="dxa" w:w="3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Adjusted R². Penalizes R² for the number of predictors, preventing artificial inflation from adding irrelevant variables.</w:t>
            </w:r>
          </w:p>
        </w:tc>
        <w:tc>
          <w:tcPr>
            <w:tcW w:type="dxa" w:w="43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Can be negative if the model is very poor. A large gap between R² and Adj. R² suggests overfitting (too many predictors for the sample size).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Sample size used in the analysis (after listwise deletion of missing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Compare to your original dataset size. A large drop indicates substantial missing data. Rule of thumb: need at least 10–20 observations per predictor.</w:t>
            </w:r>
          </w:p>
        </w:tc>
      </w:tr>
      <w:tr>
        <w:tc>
          <w:tcPr>
            <w:tcW w:type="dxa" w:w="1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F(df1, df2) = value, p</w:t>
            </w:r>
          </w:p>
        </w:tc>
        <w:tc>
          <w:tcPr>
            <w:tcW w:type="dxa" w:w="3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overall F-test. Tests H₀: all regression coefficients are simultaneously zero (i.e., the model explains no variance).</w:t>
            </w:r>
          </w:p>
        </w:tc>
        <w:tc>
          <w:tcPr>
            <w:tcW w:type="dxa" w:w="43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A significant F (p &lt; .05) means the model as a whole explains significant variance, even if individual predictors are not significant. df1 = number of predictors; df2 = n – predictors – 1.</w:t>
            </w:r>
          </w:p>
        </w:tc>
      </w:tr>
    </w:tbl>
    <w:p>
      <w:r>
        <w:br w:type="page"/>
      </w:r>
    </w:p>
    <w:p>
      <w:pPr>
        <w:pStyle w:val="Heading1"/>
        <w:spacing w:before="300" w:after="150"/>
      </w:pPr>
      <w:r>
        <w:t xml:space="preserve">7. Assumption Summary Table</w:t>
      </w:r>
    </w:p>
    <w:p>
      <w:pPr>
        <w:spacing w:after="120"/>
      </w:pPr>
      <w:r>
        <w:rPr>
          <w:rFonts w:ascii="Arial" w:cs="Arial" w:eastAsia="Arial" w:hAnsi="Arial"/>
          <w:color w:val="2C2C2C"/>
          <w:sz w:val="22"/>
          <w:szCs w:val="22"/>
        </w:rPr>
        <w:t xml:space="preserve">Located on Tab 5, this table provides a quick pass/fail overview for each OLS regression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Assumption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name of the regression assumption being tested.</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73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 Passed” if the formal test is non-significant (p &gt; .05), meaning the assumption is met. “✗ Failed” or “✗ Warning” if violated.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Key_Statistic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test statistic and p-value (or summary metric) for the formal test used to evaluate the assumption.</w:t>
            </w:r>
          </w:p>
        </w:tc>
      </w:tr>
    </w:tbl>
    <w:p>
      <w:pPr>
        <w:pStyle w:val="Heading2"/>
        <w:spacing w:before="300" w:after="150"/>
      </w:pPr>
      <w:r>
        <w:t xml:space="preserve">Assumption-by-Assumption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800"/>
        <w:gridCol w:w="2960"/>
      </w:tblGrid>
      <w:tr>
        <w:tc>
          <w:tcPr>
            <w:tcW w:type="dxa" w:w="1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Test Used</w:t>
            </w:r>
          </w:p>
        </w:tc>
        <w:tc>
          <w:tcPr>
            <w:tcW w:type="dxa" w:w="2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Null Hypothesis</w:t>
            </w:r>
          </w:p>
        </w:tc>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Passing Criterion</w:t>
            </w:r>
          </w:p>
        </w:tc>
        <w:tc>
          <w:tcPr>
            <w:tcW w:type="dxa" w:w="29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If Violated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Linearity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Rainbow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relationship between predictors and DV is linear.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 &gt; .05 (do not reject H₀)</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Consider polynomial terms, transformations, or non-linear models.</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Normality of Residuals</w:t>
            </w:r>
          </w:p>
        </w:tc>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Shapiro-Wilk</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Residuals are normally distributed.</w:t>
            </w:r>
          </w:p>
        </w:tc>
        <w:tc>
          <w:tcPr>
            <w:tcW w:type="dxa" w:w="1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 &gt; .05</w:t>
            </w:r>
          </w:p>
        </w:tc>
        <w:tc>
          <w:tcPr>
            <w:tcW w:type="dxa" w:w="29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With n &gt; 30, regression is fairly robust to mild non-normality (Central Limit Theorem). For severe violations, consider bootstrapping.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Homoscedasticity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Breusch-Pagan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Residual variance is constant across fitted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 &gt; .05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Use robust standard errors (sandwich estimator) or weighted least squares.</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Independence</w:t>
            </w:r>
          </w:p>
        </w:tc>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Durbin-Watson</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Residuals are not autocorrelated.</w:t>
            </w:r>
          </w:p>
        </w:tc>
        <w:tc>
          <w:tcPr>
            <w:tcW w:type="dxa" w:w="1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p &gt; .05 (DW statistic near 2.0)</w:t>
            </w:r>
          </w:p>
        </w:tc>
        <w:tc>
          <w:tcPr>
            <w:tcW w:type="dxa" w:w="29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Typically an issue with time-series or nested data. Consider multilevel modeling if data is clustered.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Multicollinearity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VIF (Variance Inflation Factor)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Predictors are not highly correlated with each other.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All VIF &lt; 10 (preferably &lt;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Remove or combine redundant predictors, or use ridge regression.</w:t>
            </w:r>
          </w:p>
        </w:tc>
      </w:tr>
      <w:tr>
        <w:tc>
          <w:tcPr>
            <w:tcW w:type="dxa" w:w="14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No Influential Cases</w:t>
            </w:r>
          </w:p>
        </w:tc>
        <w:tc>
          <w:tcPr>
            <w:tcW w:type="dxa" w:w="12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Cook’s Distance</w:t>
            </w:r>
          </w:p>
        </w:tc>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No single observation disproportionately influences the model.</w:t>
            </w:r>
          </w:p>
        </w:tc>
        <w:tc>
          <w:tcPr>
            <w:tcW w:type="dxa" w:w="18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No cases with Cook’s D &gt; 4/n</w:t>
            </w:r>
          </w:p>
        </w:tc>
        <w:tc>
          <w:tcPr>
            <w:tcW w:type="dxa" w:w="29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Examine flagged cases. Run sensitivity analysis with and without them. Report both if conclusions differ.</w:t>
            </w:r>
          </w:p>
        </w:tc>
      </w:tr>
    </w:tbl>
    <w:p>
      <w:r>
        <w:br w:type="page"/>
      </w:r>
    </w:p>
    <w:p>
      <w:pPr>
        <w:pStyle w:val="Heading1"/>
        <w:spacing w:before="300" w:after="150"/>
      </w:pPr>
      <w:r>
        <w:t xml:space="preserve">8. Influential Cases Table</w:t>
      </w:r>
    </w:p>
    <w:p>
      <w:pPr>
        <w:spacing w:after="120"/>
      </w:pPr>
      <w:r>
        <w:rPr>
          <w:rFonts w:ascii="Arial" w:cs="Arial" w:eastAsia="Arial" w:hAnsi="Arial"/>
          <w:color w:val="2C2C2C"/>
          <w:sz w:val="22"/>
          <w:szCs w:val="22"/>
        </w:rPr>
        <w:t xml:space="preserve">When cases are flagged on the Influential Cases tab, they appear in a detailed table. Here is what each column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Flagging Criterion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row_num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row number of the observation in the analysis dataset (after listwise deletion).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N/A – identifier only</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cooks_d</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Cook’s Distance: a composite measure of how much all fitted values change when this observation is removed. Combines leverage and residual size.</w:t>
            </w:r>
          </w:p>
        </w:tc>
        <w:tc>
          <w:tcPr>
            <w:tcW w:type="dxa" w:w="2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Flagged if &gt; 4/n (e.g., 0.02 for n = 200)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leverage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Hat value: measures how far the observation’s predictor values are from the centroid of the predictor space. High leverage means the observation has unusual predictor values.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Flagged if &gt; 2(k+1)/n, where k = number of predictors</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standardized_residual</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The residual (actual – predicted) divided by the estimated residual standard deviation. Follows approximately a standard normal distribution.</w:t>
            </w:r>
          </w:p>
        </w:tc>
        <w:tc>
          <w:tcPr>
            <w:tcW w:type="dxa" w:w="2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Flagged if |value| &gt;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studentized_residual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Like the standardized residual, but uses a leave-one-out estimate of the standard deviation. More sensitive to outliers because the observation being tested does not influence its own residual estimate.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Values &gt; ±3 are concerning</w:t>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influential_cooks</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TRUE if Cook’s D exceeds the threshold.</w:t>
            </w:r>
          </w:p>
        </w:tc>
        <w:tc>
          <w:tcPr>
            <w:tcW w:type="dxa" w:w="2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influential_leverage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TRUE if leverage exceeds the threshold.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0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influential_residual</w:t>
            </w:r>
          </w:p>
        </w:tc>
        <w:tc>
          <w:tcPr>
            <w:tcW w:type="dxa" w:w="450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TRUE if |standardized residual| &gt; 3.</w:t>
            </w:r>
          </w:p>
        </w:tc>
        <w:tc>
          <w:tcPr>
            <w:tcW w:type="dxa" w:w="2860"/>
            <w:tcBorders>
              <w:top w:val="single" w:color="CCCCCC" w:sz="1"/>
              <w:left w:val="single" w:color="CCCCCC" w:sz="1"/>
              <w:bottom w:val="single" w:color="CCCCCC" w:sz="1"/>
              <w:right w:val="single" w:color="CCCCCC" w:sz="1"/>
            </w:tcBorders>
            <w:shd w:fill="F9F5F5"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is_influential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TRUE if any of the above three flags are TRUE. This is an inclusive criterion: a case is flagged if it is unusual on any dimension.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This column determines which rows appear in the table.</w:t>
            </w:r>
          </w:p>
        </w:tc>
      </w:tr>
    </w:tbl>
    <w:p>
      <w:pPr>
        <w:pBdr>
          <w:left w:val="single" w:color="C5A95F" w:sz="6"/>
        </w:pBdr>
        <w:spacing w:before="100" w:after="100"/>
        <w:ind w:left="360" w:right="360"/>
      </w:pPr>
      <w:r>
        <w:rPr>
          <w:rFonts w:ascii="Arial" w:cs="Arial" w:eastAsia="Arial" w:hAnsi="Arial"/>
          <w:b/>
          <w:bCs/>
          <w:color w:val="8B0000"/>
          <w:sz w:val="22"/>
          <w:szCs w:val="22"/>
        </w:rPr>
        <w:t xml:space="preserve">Note: </w:t>
      </w:r>
      <w:r>
        <w:rPr>
          <w:rFonts w:ascii="Arial" w:cs="Arial" w:eastAsia="Arial" w:hAnsi="Arial"/>
          <w:color w:val="2C2C2C"/>
          <w:sz w:val="22"/>
          <w:szCs w:val="22"/>
        </w:rPr>
        <w:t xml:space="preserve">A case can be flagged for high leverage without being influential if its residual is small. Conversely, a case with a large residual but average leverage may have minimal overall influence. Cook’s D is the best single summary measure because it integrates both.</w:t>
      </w:r>
    </w:p>
    <w:p>
      <w:r>
        <w:br w:type="page"/>
      </w:r>
    </w:p>
    <w:p>
      <w:pPr>
        <w:pStyle w:val="Heading1"/>
        <w:spacing w:before="300" w:after="150"/>
      </w:pPr>
      <w:r>
        <w:t xml:space="preserve">9. R² Change Visualization</w:t>
      </w:r>
    </w:p>
    <w:p>
      <w:pPr>
        <w:spacing w:after="120"/>
      </w:pPr>
      <w:r>
        <w:rPr>
          <w:rFonts w:ascii="Arial" w:cs="Arial" w:eastAsia="Arial" w:hAnsi="Arial"/>
          <w:color w:val="2C2C2C"/>
          <w:sz w:val="22"/>
          <w:szCs w:val="22"/>
        </w:rPr>
        <w:t xml:space="preserve">This bar chart on Tab 4 visualizes the incremental contribution of each block in the hierarchical regression.</w:t>
      </w:r>
    </w:p>
    <w:p>
      <w:pPr>
        <w:pStyle w:val="Heading2"/>
        <w:spacing w:before="300" w:after="150"/>
      </w:pPr>
      <w:r>
        <w:t xml:space="preserve">Reading the Chart</w:t>
      </w:r>
    </w:p>
    <w:p>
      <w:pPr>
        <w:pStyle w:val="ListParagraph"/>
        <w:numPr>
          <w:ilvl w:val="0"/>
          <w:numId w:val="2"/>
        </w:numPr>
        <w:spacing w:after="60"/>
      </w:pPr>
      <w:r>
        <w:rPr>
          <w:rFonts w:ascii="Arial" w:cs="Arial" w:eastAsia="Arial" w:hAnsi="Arial"/>
          <w:color w:val="2C2C2C"/>
          <w:sz w:val="22"/>
          <w:szCs w:val="22"/>
        </w:rPr>
        <w:t xml:space="preserve">Each bar represents one block’s ΔR² (R-squared change).</w:t>
      </w:r>
    </w:p>
    <w:p>
      <w:pPr>
        <w:pStyle w:val="ListParagraph"/>
        <w:numPr>
          <w:ilvl w:val="0"/>
          <w:numId w:val="2"/>
        </w:numPr>
        <w:spacing w:after="60"/>
      </w:pPr>
      <w:r>
        <w:rPr>
          <w:rFonts w:ascii="Arial" w:cs="Arial" w:eastAsia="Arial" w:hAnsi="Arial"/>
          <w:color w:val="2C2C2C"/>
          <w:sz w:val="22"/>
          <w:szCs w:val="22"/>
        </w:rPr>
        <w:t xml:space="preserve">Bar height corresponds to the magnitude of the change. The ΔR² value is printed above each bar.</w:t>
      </w:r>
    </w:p>
    <w:p>
      <w:pPr>
        <w:pStyle w:val="ListParagraph"/>
        <w:numPr>
          <w:ilvl w:val="0"/>
          <w:numId w:val="2"/>
        </w:numPr>
        <w:spacing w:after="60"/>
      </w:pPr>
      <w:r>
        <w:rPr>
          <w:rFonts w:ascii="Arial" w:cs="Arial" w:eastAsia="Arial" w:hAnsi="Arial"/>
          <w:color w:val="2C2C2C"/>
          <w:sz w:val="22"/>
          <w:szCs w:val="22"/>
        </w:rPr>
        <w:t xml:space="preserve">Green bars indicate statistically significant changes (the incremental F-test for that block has p &lt; .05).</w:t>
      </w:r>
    </w:p>
    <w:p>
      <w:pPr>
        <w:pStyle w:val="ListParagraph"/>
        <w:numPr>
          <w:ilvl w:val="0"/>
          <w:numId w:val="2"/>
        </w:numPr>
        <w:spacing w:after="60"/>
      </w:pPr>
      <w:r>
        <w:rPr>
          <w:rFonts w:ascii="Arial" w:cs="Arial" w:eastAsia="Arial" w:hAnsi="Arial"/>
          <w:color w:val="2C2C2C"/>
          <w:sz w:val="22"/>
          <w:szCs w:val="22"/>
        </w:rPr>
        <w:t xml:space="preserve">Gray bars indicate non-significant changes (p ≥ .05).</w:t>
      </w:r>
    </w:p>
    <w:p>
      <w:pPr>
        <w:pStyle w:val="ListParagraph"/>
        <w:numPr>
          <w:ilvl w:val="0"/>
          <w:numId w:val="2"/>
        </w:numPr>
        <w:spacing w:after="60"/>
      </w:pPr>
      <w:r>
        <w:rPr>
          <w:rFonts w:ascii="Arial" w:cs="Arial" w:eastAsia="Arial" w:hAnsi="Arial"/>
          <w:color w:val="2C2C2C"/>
          <w:sz w:val="22"/>
          <w:szCs w:val="22"/>
        </w:rPr>
        <w:t xml:space="preserve">A tall green bar means that block’s predictors explain a meaningful, statistically significant chunk of additional variance in the DV.</w:t>
      </w:r>
    </w:p>
    <w:p>
      <w:pPr>
        <w:pStyle w:val="ListParagraph"/>
        <w:numPr>
          <w:ilvl w:val="0"/>
          <w:numId w:val="2"/>
        </w:numPr>
        <w:spacing w:after="60"/>
      </w:pPr>
      <w:r>
        <w:rPr>
          <w:rFonts w:ascii="Arial" w:cs="Arial" w:eastAsia="Arial" w:hAnsi="Arial"/>
          <w:color w:val="2C2C2C"/>
          <w:sz w:val="22"/>
          <w:szCs w:val="22"/>
        </w:rPr>
        <w:t xml:space="preserve">A very short or gray bar suggests those predictors are not adding much beyond what earlier blocks already captured.</w:t>
      </w:r>
    </w:p>
    <w:p>
      <w:pPr>
        <w:pStyle w:val="Heading2"/>
        <w:spacing w:before="300" w:after="150"/>
      </w:pPr>
      <w:r>
        <w:t xml:space="preserve">Example Interpretation</w:t>
      </w:r>
    </w:p>
    <w:p>
      <w:pPr>
        <w:spacing w:after="120"/>
      </w:pPr>
      <w:r>
        <w:rPr>
          <w:rFonts w:ascii="Arial" w:cs="Arial" w:eastAsia="Arial" w:hAnsi="Arial"/>
          <w:color w:val="2C2C2C"/>
          <w:sz w:val="22"/>
          <w:szCs w:val="22"/>
        </w:rPr>
        <w:t xml:space="preserve">If Block 1 (control variables) shows ΔR² = .003 (gray) and Block 3 (key predictors) shows ΔR² = .011 (gray), neither block significantly improved model fit. The overall model explains very little variance (R² = .015), suggesting the chosen predictors are poor predictors of the DV, or the sample data has high noise relative to signal.</w:t>
      </w:r>
    </w:p>
    <w:p>
      <w:r>
        <w:br w:type="page"/>
      </w:r>
    </w:p>
    <w:p>
      <w:pPr>
        <w:pStyle w:val="Heading1"/>
        <w:spacing w:before="300" w:after="150"/>
      </w:pPr>
      <w:r>
        <w:t xml:space="preserve">10. Coefficient Plot (Forest Plot)</w:t>
      </w:r>
    </w:p>
    <w:p>
      <w:pPr>
        <w:spacing w:after="120"/>
      </w:pPr>
      <w:r>
        <w:rPr>
          <w:rFonts w:ascii="Arial" w:cs="Arial" w:eastAsia="Arial" w:hAnsi="Arial"/>
          <w:color w:val="2C2C2C"/>
          <w:sz w:val="22"/>
          <w:szCs w:val="22"/>
        </w:rPr>
        <w:t xml:space="preserve">This visual representation of the final model’s coefficients is on Tab 4, alongside the R² change chart.</w:t>
      </w:r>
    </w:p>
    <w:p>
      <w:pPr>
        <w:pStyle w:val="Heading2"/>
        <w:spacing w:before="300" w:after="150"/>
      </w:pPr>
      <w:r>
        <w:t xml:space="preserve">Reading the Plot</w:t>
      </w:r>
    </w:p>
    <w:p>
      <w:pPr>
        <w:pStyle w:val="ListParagraph"/>
        <w:numPr>
          <w:ilvl w:val="0"/>
          <w:numId w:val="2"/>
        </w:numPr>
        <w:spacing w:after="60"/>
      </w:pPr>
      <w:r>
        <w:rPr>
          <w:rFonts w:ascii="Arial" w:cs="Arial" w:eastAsia="Arial" w:hAnsi="Arial"/>
          <w:color w:val="2C2C2C"/>
          <w:sz w:val="22"/>
          <w:szCs w:val="22"/>
        </w:rPr>
        <w:t xml:space="preserve">Each predictor is a row on the y-axis. The x-axis shows the unstandardized coefficient value (B).</w:t>
      </w:r>
    </w:p>
    <w:p>
      <w:pPr>
        <w:pStyle w:val="ListParagraph"/>
        <w:numPr>
          <w:ilvl w:val="0"/>
          <w:numId w:val="2"/>
        </w:numPr>
        <w:spacing w:after="60"/>
      </w:pPr>
      <w:r>
        <w:rPr>
          <w:rFonts w:ascii="Arial" w:cs="Arial" w:eastAsia="Arial" w:hAnsi="Arial"/>
          <w:color w:val="2C2C2C"/>
          <w:sz w:val="22"/>
          <w:szCs w:val="22"/>
        </w:rPr>
        <w:t xml:space="preserve">The filled circle (point) is the estimated B value.</w:t>
      </w:r>
    </w:p>
    <w:p>
      <w:pPr>
        <w:pStyle w:val="ListParagraph"/>
        <w:numPr>
          <w:ilvl w:val="0"/>
          <w:numId w:val="2"/>
        </w:numPr>
        <w:spacing w:after="60"/>
      </w:pPr>
      <w:r>
        <w:rPr>
          <w:rFonts w:ascii="Arial" w:cs="Arial" w:eastAsia="Arial" w:hAnsi="Arial"/>
          <w:color w:val="2C2C2C"/>
          <w:sz w:val="22"/>
          <w:szCs w:val="22"/>
        </w:rPr>
        <w:t xml:space="preserve">The horizontal line extending from each point is the 95% confidence interval.</w:t>
      </w:r>
    </w:p>
    <w:p>
      <w:pPr>
        <w:pStyle w:val="ListParagraph"/>
        <w:numPr>
          <w:ilvl w:val="0"/>
          <w:numId w:val="2"/>
        </w:numPr>
        <w:spacing w:after="60"/>
      </w:pPr>
      <w:r>
        <w:rPr>
          <w:rFonts w:ascii="Arial" w:cs="Arial" w:eastAsia="Arial" w:hAnsi="Arial"/>
          <w:color w:val="2C2C2C"/>
          <w:sz w:val="22"/>
          <w:szCs w:val="22"/>
        </w:rPr>
        <w:t xml:space="preserve">The vertical dashed line at x = 0 represents no effect.</w:t>
      </w:r>
    </w:p>
    <w:p>
      <w:pPr>
        <w:pStyle w:val="ListParagraph"/>
        <w:numPr>
          <w:ilvl w:val="0"/>
          <w:numId w:val="2"/>
        </w:numPr>
        <w:spacing w:after="60"/>
      </w:pPr>
      <w:r>
        <w:rPr>
          <w:rFonts w:ascii="Arial" w:cs="Arial" w:eastAsia="Arial" w:hAnsi="Arial"/>
          <w:color w:val="2C2C2C"/>
          <w:sz w:val="22"/>
          <w:szCs w:val="22"/>
        </w:rPr>
        <w:t xml:space="preserve">If a predictor’s confidence interval does NOT cross zero, it is statistically significant at p &lt; .05. These are marked with a red asterisk (*).</w:t>
      </w:r>
    </w:p>
    <w:p>
      <w:pPr>
        <w:pStyle w:val="ListParagraph"/>
        <w:numPr>
          <w:ilvl w:val="0"/>
          <w:numId w:val="2"/>
        </w:numPr>
        <w:spacing w:after="60"/>
      </w:pPr>
      <w:r>
        <w:rPr>
          <w:rFonts w:ascii="Arial" w:cs="Arial" w:eastAsia="Arial" w:hAnsi="Arial"/>
          <w:color w:val="2C2C2C"/>
          <w:sz w:val="22"/>
          <w:szCs w:val="22"/>
        </w:rPr>
        <w:t xml:space="preserve">If the confidence interval crosses zero, the effect is not statistically distinguishable from zero.</w:t>
      </w:r>
    </w:p>
    <w:p>
      <w:pPr>
        <w:pStyle w:val="ListParagraph"/>
        <w:numPr>
          <w:ilvl w:val="0"/>
          <w:numId w:val="2"/>
        </w:numPr>
        <w:spacing w:after="60"/>
      </w:pPr>
      <w:r>
        <w:rPr>
          <w:rFonts w:ascii="Arial" w:cs="Arial" w:eastAsia="Arial" w:hAnsi="Arial"/>
          <w:color w:val="2C2C2C"/>
          <w:sz w:val="22"/>
          <w:szCs w:val="22"/>
        </w:rPr>
        <w:t xml:space="preserve">Wider intervals indicate less precise estimates (often due to smaller effect sizes, high standard errors, or multicollinearity).</w:t>
      </w:r>
    </w:p>
    <w:p>
      <w:r>
        <w:br w:type="page"/>
      </w:r>
    </w:p>
    <w:p>
      <w:pPr>
        <w:pStyle w:val="Heading1"/>
        <w:spacing w:before="300" w:after="150"/>
      </w:pPr>
      <w:r>
        <w:t xml:space="preserve">11. APA Reporting Quick Reference</w:t>
      </w:r>
    </w:p>
    <w:p>
      <w:pPr>
        <w:spacing w:after="120"/>
      </w:pPr>
      <w:r>
        <w:rPr>
          <w:rFonts w:ascii="Arial" w:cs="Arial" w:eastAsia="Arial" w:hAnsi="Arial"/>
          <w:color w:val="2C2C2C"/>
          <w:sz w:val="22"/>
          <w:szCs w:val="22"/>
        </w:rPr>
        <w:t xml:space="preserve">When writing up results from this dashboard for a manuscript or thesis, use the following templates:</w:t>
      </w:r>
    </w:p>
    <w:p>
      <w:pPr>
        <w:pStyle w:val="Heading2"/>
        <w:spacing w:before="300" w:after="150"/>
      </w:pPr>
      <w:r>
        <w:t xml:space="preserve">Hierarchical Regression Narrative</w:t>
      </w:r>
    </w:p>
    <w:p>
      <w:pPr>
        <w:spacing w:after="120"/>
      </w:pPr>
      <w:r>
        <w:rPr>
          <w:rFonts w:ascii="Arial" w:cs="Arial" w:eastAsia="Arial" w:hAnsi="Arial"/>
          <w:i/>
          <w:iCs/>
          <w:color w:val="2C2C2C"/>
          <w:sz w:val="22"/>
          <w:szCs w:val="22"/>
        </w:rPr>
        <w:t xml:space="preserve">A three-step hierarchical regression was conducted to predict [DV]. In Step 1, [Block 1 variables] were entered, accounting for [R²]% of the variance, F(df1, df2) = [F], p = [p]. In Step 2, [Block 2 variables] were added, and the model explained an additional [ΔR²]% of variance, ΔF(df1, df2) = [ΔF], p = [p]. In the final step, [Block 3 variables] were entered, contributing an additional [ΔR²]%, ΔF(df1, df2) = [ΔF], p = [p]. The final model explained [total R²]% of the variance in [DV].</w:t>
      </w:r>
    </w:p>
    <w:p>
      <w:pPr>
        <w:pStyle w:val="Heading2"/>
        <w:spacing w:before="300" w:after="150"/>
      </w:pPr>
      <w:r>
        <w:t xml:space="preserve">Individual Predictor Reporting</w:t>
      </w:r>
    </w:p>
    <w:p>
      <w:pPr>
        <w:spacing w:after="120"/>
      </w:pPr>
      <w:r>
        <w:rPr>
          <w:rFonts w:ascii="Arial" w:cs="Arial" w:eastAsia="Arial" w:hAnsi="Arial"/>
          <w:i/>
          <w:iCs/>
          <w:color w:val="2C2C2C"/>
          <w:sz w:val="22"/>
          <w:szCs w:val="22"/>
        </w:rPr>
        <w:t xml:space="preserve">[Predictor] was a significant predictor of [DV], B = [B], SE = [SE], β = [β], t(df) = [t], p = [p], 95% CI [lower, upper], sr² = [sr²].</w:t>
      </w:r>
    </w:p>
    <w:p>
      <w:pPr>
        <w:pStyle w:val="Heading2"/>
        <w:spacing w:before="300" w:after="150"/>
      </w:pPr>
      <w:r>
        <w:t xml:space="preserve">Key APA Conventions</w:t>
      </w:r>
    </w:p>
    <w:p>
      <w:pPr>
        <w:pStyle w:val="ListParagraph"/>
        <w:numPr>
          <w:ilvl w:val="0"/>
          <w:numId w:val="2"/>
        </w:numPr>
        <w:spacing w:after="60"/>
      </w:pPr>
      <w:r>
        <w:rPr>
          <w:rFonts w:ascii="Arial" w:cs="Arial" w:eastAsia="Arial" w:hAnsi="Arial"/>
          <w:color w:val="2C2C2C"/>
          <w:sz w:val="22"/>
          <w:szCs w:val="22"/>
        </w:rPr>
        <w:t xml:space="preserve">Omit the leading zero for statistics bounded by ±1 (e.g., p = .041, not p = 0.041; r = .35, not r = 0.35).</w:t>
      </w:r>
    </w:p>
    <w:p>
      <w:pPr>
        <w:pStyle w:val="ListParagraph"/>
        <w:numPr>
          <w:ilvl w:val="0"/>
          <w:numId w:val="2"/>
        </w:numPr>
        <w:spacing w:after="60"/>
      </w:pPr>
      <w:r>
        <w:rPr>
          <w:rFonts w:ascii="Arial" w:cs="Arial" w:eastAsia="Arial" w:hAnsi="Arial"/>
          <w:color w:val="2C2C2C"/>
          <w:sz w:val="22"/>
          <w:szCs w:val="22"/>
        </w:rPr>
        <w:t xml:space="preserve">Report exact p-values to three decimal places; use p &lt; .001 when smaller.</w:t>
      </w:r>
    </w:p>
    <w:p>
      <w:pPr>
        <w:pStyle w:val="ListParagraph"/>
        <w:numPr>
          <w:ilvl w:val="0"/>
          <w:numId w:val="2"/>
        </w:numPr>
        <w:spacing w:after="60"/>
      </w:pPr>
      <w:r>
        <w:rPr>
          <w:rFonts w:ascii="Arial" w:cs="Arial" w:eastAsia="Arial" w:hAnsi="Arial"/>
          <w:color w:val="2C2C2C"/>
          <w:sz w:val="22"/>
          <w:szCs w:val="22"/>
        </w:rPr>
        <w:t xml:space="preserve">Italicize statistical symbols: F, t, p, R², β, n.</w:t>
      </w:r>
    </w:p>
    <w:p>
      <w:pPr>
        <w:pStyle w:val="ListParagraph"/>
        <w:numPr>
          <w:ilvl w:val="0"/>
          <w:numId w:val="2"/>
        </w:numPr>
        <w:spacing w:after="60"/>
      </w:pPr>
      <w:r>
        <w:rPr>
          <w:rFonts w:ascii="Arial" w:cs="Arial" w:eastAsia="Arial" w:hAnsi="Arial"/>
          <w:color w:val="2C2C2C"/>
          <w:sz w:val="22"/>
          <w:szCs w:val="22"/>
        </w:rPr>
        <w:t xml:space="preserve">Report degrees of freedom in parentheses after the test statistic: F(3, 196) = 0.97, t(196) = 1.51.</w:t>
      </w:r>
    </w:p>
    <w:p>
      <w:pPr>
        <w:pStyle w:val="ListParagraph"/>
        <w:numPr>
          <w:ilvl w:val="0"/>
          <w:numId w:val="2"/>
        </w:numPr>
        <w:spacing w:after="60"/>
      </w:pPr>
      <w:r>
        <w:rPr>
          <w:rFonts w:ascii="Arial" w:cs="Arial" w:eastAsia="Arial" w:hAnsi="Arial"/>
          <w:color w:val="2C2C2C"/>
          <w:sz w:val="22"/>
          <w:szCs w:val="22"/>
        </w:rPr>
        <w:t xml:space="preserve">Use two or three decimal places consistently within a table.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Florida Tech COE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B0000"/>
        <w:sz w:val="18"/>
        <w:szCs w:val="18"/>
      </w:rPr>
      <w:t xml:space="preserve">Interpreting Tables &amp;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000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8B00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2026-03-18T21:13:08.446Z</dcterms:created>
  <dcterms:modified xsi:type="dcterms:W3CDTF">2026-03-18T21:13:08.446Z</dcterms:modified>
</cp:coreProperties>
</file>

<file path=docProps/custom.xml><?xml version="1.0" encoding="utf-8"?>
<Properties xmlns="http://schemas.openxmlformats.org/officeDocument/2006/custom-properties" xmlns:vt="http://schemas.openxmlformats.org/officeDocument/2006/docPropsVTypes"/>
</file>