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3ED" w:rsidRDefault="009770AA" w:rsidP="008C03ED">
      <w:pPr>
        <w:pStyle w:val="Heading1"/>
      </w:pPr>
      <w:r>
        <w:t xml:space="preserve">Corrections – </w:t>
      </w:r>
      <w:r w:rsidR="008C03ED">
        <w:t>Context-Aware Programming Languages</w:t>
      </w:r>
    </w:p>
    <w:p w:rsidR="008C03ED" w:rsidRDefault="008C03ED" w:rsidP="008C03ED">
      <w:r>
        <w:br/>
        <w:t>Tomas Petricek</w:t>
      </w:r>
      <w:r>
        <w:br/>
        <w:t>24 January 2017</w:t>
      </w:r>
    </w:p>
    <w:p w:rsidR="008C03ED" w:rsidRDefault="008C03ED" w:rsidP="008C03ED"/>
    <w:p w:rsidR="008C03ED" w:rsidRDefault="00C31844" w:rsidP="008C03ED">
      <w:pPr>
        <w:pStyle w:val="Heading2"/>
      </w:pPr>
      <w:r>
        <w:t>Larger changes</w:t>
      </w:r>
    </w:p>
    <w:p w:rsidR="008C03ED" w:rsidRDefault="008C03ED" w:rsidP="008C03ED">
      <w:r>
        <w:t xml:space="preserve">The following </w:t>
      </w:r>
      <w:r w:rsidR="00C31844">
        <w:t>are the most notable changes in the revised version of the thesis:</w:t>
      </w:r>
    </w:p>
    <w:p w:rsidR="00C31844" w:rsidRDefault="00C31844" w:rsidP="00C31844">
      <w:pPr>
        <w:pStyle w:val="ListParagraph"/>
        <w:numPr>
          <w:ilvl w:val="0"/>
          <w:numId w:val="1"/>
        </w:numPr>
      </w:pPr>
      <w:r>
        <w:t>Previously, the key thesis has been stated in the summary of Chapter 1 and then in conclusions in Chapter 9. As discussed during viva, stating the thesis early is desirable – this is now done in the beginning of Chapter 1 (page 4) and later mentions refer to it.</w:t>
      </w:r>
    </w:p>
    <w:p w:rsidR="00C31844" w:rsidRDefault="00C31844" w:rsidP="00C31844">
      <w:pPr>
        <w:pStyle w:val="ListParagraph"/>
        <w:numPr>
          <w:ilvl w:val="0"/>
          <w:numId w:val="1"/>
        </w:numPr>
      </w:pPr>
      <w:r>
        <w:t xml:space="preserve">The examiner’s report notes the possible relationship between coeffect algebra and semiring. Many of the examples used in the thesis form a semiring, but this is not always the case (in particular, the implicit parameters example breaks the annihilation law of a semiring). This has been clarified </w:t>
      </w:r>
      <w:r w:rsidR="0087229F">
        <w:t xml:space="preserve">in Chapter 4 </w:t>
      </w:r>
      <w:r>
        <w:t xml:space="preserve">(page 75) and </w:t>
      </w:r>
      <w:r w:rsidR="0087229F">
        <w:t>forward references have been added in Chapter 3 (page 50) where the structure appears for the first time.</w:t>
      </w:r>
    </w:p>
    <w:p w:rsidR="0087229F" w:rsidRDefault="0087229F" w:rsidP="00C31844">
      <w:pPr>
        <w:pStyle w:val="ListParagraph"/>
        <w:numPr>
          <w:ilvl w:val="0"/>
          <w:numId w:val="1"/>
        </w:numPr>
      </w:pPr>
      <w:r>
        <w:t>The categorical motivation for the translational semantics of structural coeffects (Section 6.6) has been revised as per discussion during the viva. The</w:t>
      </w:r>
      <w:r w:rsidR="00B57687">
        <w:t xml:space="preserve"> semantics of context is now comonad over a product representing individual variables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×…×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B57687">
        <w:t xml:space="preserve"> rather than using a separate structure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×</m:t>
            </m:r>
          </m:e>
        </m:acc>
      </m:oMath>
      <w:r w:rsidR="00B57687">
        <w:t xml:space="preserve"> for</w:t>
      </w:r>
      <w:r>
        <w:t xml:space="preserve"> </w:t>
      </w:r>
      <w:r w:rsidR="00B57687">
        <w:t>vectors; the required comonad laws (adapted for the structural definition of comonad) have been added and a mention of possible generalization of vectors using a module over coeffect algebra has been added.</w:t>
      </w:r>
    </w:p>
    <w:p w:rsidR="00B57687" w:rsidRPr="008C03ED" w:rsidRDefault="00B57687" w:rsidP="00B57687"/>
    <w:p w:rsidR="00B57687" w:rsidRDefault="00B57687" w:rsidP="00B57687">
      <w:pPr>
        <w:pStyle w:val="Heading2"/>
      </w:pPr>
      <w:r>
        <w:t xml:space="preserve">Smaller </w:t>
      </w:r>
      <w:r>
        <w:t>changes</w:t>
      </w:r>
    </w:p>
    <w:p w:rsidR="00B57687" w:rsidRPr="00B57687" w:rsidRDefault="00B57687" w:rsidP="00B57687">
      <w:r>
        <w:t>The following briefly summarizes how the remaining points in the examiner’s report have been addressed:</w:t>
      </w:r>
    </w:p>
    <w:p w:rsidR="00B57687" w:rsidRDefault="00B57687" w:rsidP="009770AA">
      <w:pPr>
        <w:spacing w:after="0"/>
        <w:ind w:left="851" w:hanging="425"/>
      </w:pPr>
      <w:r w:rsidRPr="00B57687">
        <w:rPr>
          <w:b/>
        </w:rPr>
        <w:t>p3</w:t>
      </w:r>
      <w:r w:rsidRPr="00B57687">
        <w:t xml:space="preserve"> </w:t>
      </w:r>
      <w:r>
        <w:tab/>
      </w:r>
      <w:r w:rsidRPr="00B57687">
        <w:t>Fixed incorrect wording (</w:t>
      </w:r>
      <w:r>
        <w:t>examples are not exhaustive but representative)</w:t>
      </w:r>
    </w:p>
    <w:p w:rsidR="00B57687" w:rsidRPr="00B57687" w:rsidRDefault="00B57687" w:rsidP="009770AA">
      <w:pPr>
        <w:spacing w:after="0"/>
        <w:ind w:left="851" w:hanging="425"/>
      </w:pPr>
      <w:r w:rsidRPr="00B57687">
        <w:rPr>
          <w:b/>
        </w:rPr>
        <w:t>p6</w:t>
      </w:r>
      <w:r>
        <w:t xml:space="preserve"> </w:t>
      </w:r>
      <w:r>
        <w:tab/>
        <w:t>Fixed wording (problematic approach is translating code written for rich execution environment)</w:t>
      </w:r>
    </w:p>
    <w:p w:rsidR="00B57687" w:rsidRPr="00B57687" w:rsidRDefault="00B57687" w:rsidP="009770AA">
      <w:pPr>
        <w:spacing w:after="0"/>
        <w:ind w:left="851" w:hanging="425"/>
      </w:pPr>
      <w:r w:rsidRPr="00B57687">
        <w:rPr>
          <w:b/>
        </w:rPr>
        <w:t>p7</w:t>
      </w:r>
      <w:r>
        <w:t xml:space="preserve"> </w:t>
      </w:r>
      <w:r>
        <w:tab/>
        <w:t>Fixed wording (the section is talking about values, not variables)</w:t>
      </w:r>
    </w:p>
    <w:p w:rsidR="00B57687" w:rsidRPr="00B57687" w:rsidRDefault="00B57687" w:rsidP="009770AA">
      <w:pPr>
        <w:spacing w:after="0"/>
        <w:ind w:left="851" w:hanging="425"/>
      </w:pPr>
      <w:r w:rsidRPr="00B57687">
        <w:rPr>
          <w:b/>
        </w:rPr>
        <w:t>p12</w:t>
      </w:r>
      <w:r>
        <w:t xml:space="preserve"> </w:t>
      </w:r>
      <w:r>
        <w:tab/>
        <w:t>Clarification added (this is intuitive distinction; added reference to later formal treatment)</w:t>
      </w:r>
    </w:p>
    <w:p w:rsidR="00B57687" w:rsidRPr="00B57687" w:rsidRDefault="00B57687" w:rsidP="009770AA">
      <w:pPr>
        <w:spacing w:after="0"/>
        <w:ind w:left="851" w:hanging="425"/>
      </w:pPr>
      <w:r w:rsidRPr="00B57687">
        <w:rPr>
          <w:b/>
        </w:rPr>
        <w:t>p12</w:t>
      </w:r>
      <w:r w:rsidRPr="00B57687">
        <w:t xml:space="preserve"> </w:t>
      </w:r>
      <w:r>
        <w:tab/>
        <w:t>Clarification added (syntactically, there is no distinction, but there is discussion when discussing semantics; added reference to later section in the thesis where this is discussed)</w:t>
      </w:r>
    </w:p>
    <w:p w:rsidR="00B57687" w:rsidRPr="00B57687" w:rsidRDefault="00B57687" w:rsidP="009770AA">
      <w:pPr>
        <w:spacing w:after="0"/>
        <w:ind w:left="851" w:hanging="425"/>
      </w:pPr>
      <w:r w:rsidRPr="00B57687">
        <w:rPr>
          <w:b/>
        </w:rPr>
        <w:t>p13</w:t>
      </w:r>
      <w:r>
        <w:t xml:space="preserve"> – Clarification added (interactive essay </w:t>
      </w:r>
      <w:r w:rsidRPr="00B57687">
        <w:t>lets the reader explore typing &amp; semantics</w:t>
      </w:r>
      <w:r>
        <w:t>)</w:t>
      </w:r>
    </w:p>
    <w:p w:rsidR="00B57687" w:rsidRPr="00B57687" w:rsidRDefault="00B57687" w:rsidP="009770AA">
      <w:pPr>
        <w:spacing w:after="0"/>
        <w:ind w:left="851" w:hanging="425"/>
      </w:pPr>
      <w:r w:rsidRPr="00B57687">
        <w:rPr>
          <w:b/>
        </w:rPr>
        <w:t>p16</w:t>
      </w:r>
      <w:r w:rsidRPr="00B57687">
        <w:t xml:space="preserve"> </w:t>
      </w:r>
      <w:r>
        <w:t>– Used simpler example as suggested in the examiner’s report</w:t>
      </w:r>
    </w:p>
    <w:p w:rsidR="00B57687" w:rsidRPr="00B57687" w:rsidRDefault="00B57687" w:rsidP="009770AA">
      <w:pPr>
        <w:spacing w:after="0"/>
        <w:ind w:left="851" w:hanging="425"/>
      </w:pPr>
      <w:r w:rsidRPr="004E76E6">
        <w:rPr>
          <w:b/>
        </w:rPr>
        <w:t>p16</w:t>
      </w:r>
      <w:r w:rsidRPr="00B57687">
        <w:t xml:space="preserve"> </w:t>
      </w:r>
      <w:r w:rsidR="004E76E6">
        <w:t>–</w:t>
      </w:r>
      <w:r w:rsidRPr="00B57687">
        <w:t xml:space="preserve"> </w:t>
      </w:r>
      <w:r w:rsidR="004E76E6">
        <w:t xml:space="preserve">Clarification added </w:t>
      </w:r>
      <w:r w:rsidRPr="00B57687">
        <w:t>(there is a stack and the topmost value from the stack is used)</w:t>
      </w:r>
    </w:p>
    <w:p w:rsidR="00B57687" w:rsidRPr="00B57687" w:rsidRDefault="004E76E6" w:rsidP="009770AA">
      <w:pPr>
        <w:spacing w:after="0"/>
        <w:ind w:left="851" w:hanging="425"/>
      </w:pPr>
      <w:r w:rsidRPr="004E76E6">
        <w:rPr>
          <w:b/>
        </w:rPr>
        <w:t>p</w:t>
      </w:r>
      <w:r w:rsidR="00B57687" w:rsidRPr="004E76E6">
        <w:rPr>
          <w:b/>
        </w:rPr>
        <w:t>16</w:t>
      </w:r>
      <w:r w:rsidR="00B57687" w:rsidRPr="00B57687">
        <w:t xml:space="preserve"> </w:t>
      </w:r>
      <w:r>
        <w:t xml:space="preserve">– Clarification added (languages with </w:t>
      </w:r>
      <w:r w:rsidR="00B57687" w:rsidRPr="00B57687">
        <w:t xml:space="preserve">dynamic binding can be statically typed, but </w:t>
      </w:r>
      <w:r>
        <w:t xml:space="preserve">this </w:t>
      </w:r>
      <w:r w:rsidR="00B57687" w:rsidRPr="00B57687">
        <w:t xml:space="preserve">requires </w:t>
      </w:r>
      <w:r>
        <w:t xml:space="preserve">more powerful type system that tracks implicit parameters, akin to the one in </w:t>
      </w:r>
      <w:r w:rsidR="00B57687" w:rsidRPr="00B57687">
        <w:t>GHC</w:t>
      </w:r>
      <w:r>
        <w:t>)</w:t>
      </w:r>
    </w:p>
    <w:p w:rsidR="00B57687" w:rsidRPr="00B57687" w:rsidRDefault="004E76E6" w:rsidP="009770AA">
      <w:pPr>
        <w:spacing w:after="0"/>
        <w:ind w:left="851" w:hanging="425"/>
      </w:pPr>
      <w:r w:rsidRPr="004E76E6">
        <w:rPr>
          <w:b/>
        </w:rPr>
        <w:t>p</w:t>
      </w:r>
      <w:r w:rsidR="00B57687" w:rsidRPr="004E76E6">
        <w:rPr>
          <w:b/>
        </w:rPr>
        <w:t>16</w:t>
      </w:r>
      <w:r w:rsidR="00B57687" w:rsidRPr="00B57687">
        <w:t xml:space="preserve"> </w:t>
      </w:r>
      <w:r>
        <w:t>– Fixed wording (c</w:t>
      </w:r>
      <w:r w:rsidR="00B57687" w:rsidRPr="00B57687">
        <w:t xml:space="preserve">hanged </w:t>
      </w:r>
      <w:r>
        <w:t xml:space="preserve">Haskell </w:t>
      </w:r>
      <w:r w:rsidR="00B57687" w:rsidRPr="00B57687">
        <w:t>to GHC</w:t>
      </w:r>
      <w:r>
        <w:t>, also on page 80)</w:t>
      </w:r>
    </w:p>
    <w:p w:rsidR="00B57687" w:rsidRDefault="004E76E6" w:rsidP="009770AA">
      <w:pPr>
        <w:spacing w:after="0"/>
        <w:ind w:left="851" w:hanging="425"/>
      </w:pPr>
      <w:r w:rsidRPr="004E76E6">
        <w:rPr>
          <w:b/>
        </w:rPr>
        <w:t>p</w:t>
      </w:r>
      <w:r w:rsidR="00B57687" w:rsidRPr="004E76E6">
        <w:rPr>
          <w:b/>
        </w:rPr>
        <w:t>32</w:t>
      </w:r>
      <w:r w:rsidR="00B57687" w:rsidRPr="00B57687">
        <w:t xml:space="preserve"> </w:t>
      </w:r>
      <w:r>
        <w:t>– As suggested, added a brief summary of this point to Section 1.3 in Chapter 1</w:t>
      </w:r>
    </w:p>
    <w:p w:rsidR="004E76E6" w:rsidRDefault="004E76E6" w:rsidP="009770AA">
      <w:pPr>
        <w:spacing w:after="0"/>
        <w:ind w:left="851" w:hanging="425"/>
      </w:pPr>
      <w:r w:rsidRPr="004E76E6">
        <w:rPr>
          <w:b/>
        </w:rPr>
        <w:t>p34</w:t>
      </w:r>
      <w:r>
        <w:t xml:space="preserve"> –</w:t>
      </w:r>
      <w:r w:rsidR="009770AA">
        <w:t xml:space="preserve"> The alternative design suggested in the report has been considered, however changing the approach used in the thesis would be a major change. Both of the alternatives have advantages and disadvantages, so the discussion about the advantages and disadvantages has been clarified.</w:t>
      </w:r>
    </w:p>
    <w:p w:rsidR="004E76E6" w:rsidRDefault="009770AA" w:rsidP="009770AA">
      <w:pPr>
        <w:spacing w:after="0"/>
        <w:ind w:left="851" w:hanging="425"/>
      </w:pPr>
      <w:r w:rsidRPr="009770AA">
        <w:rPr>
          <w:b/>
        </w:rPr>
        <w:t>p</w:t>
      </w:r>
      <w:r w:rsidR="004E76E6" w:rsidRPr="009770AA">
        <w:rPr>
          <w:b/>
        </w:rPr>
        <w:t>36</w:t>
      </w:r>
      <w:r w:rsidR="004E76E6">
        <w:t xml:space="preserve"> </w:t>
      </w:r>
      <w:r>
        <w:t>– Corrected (the mention of mapping from names to types was removed)</w:t>
      </w:r>
    </w:p>
    <w:p w:rsidR="004E76E6" w:rsidRDefault="009770AA" w:rsidP="009770AA">
      <w:pPr>
        <w:spacing w:after="0"/>
        <w:ind w:left="851" w:hanging="425"/>
      </w:pPr>
      <w:r w:rsidRPr="0096021C">
        <w:rPr>
          <w:b/>
        </w:rPr>
        <w:t>p40</w:t>
      </w:r>
      <w:r>
        <w:t xml:space="preserve"> </w:t>
      </w:r>
      <w:r>
        <w:t>–</w:t>
      </w:r>
      <w:r w:rsidR="004E76E6">
        <w:t xml:space="preserve"> </w:t>
      </w:r>
      <w:r w:rsidR="0021346F">
        <w:t>C</w:t>
      </w:r>
      <w:r w:rsidR="004E76E6">
        <w:t>orrected (</w:t>
      </w:r>
      <w:r w:rsidR="0021346F">
        <w:t>all mentions of non-determinism have been replaced with notes about principal types</w:t>
      </w:r>
      <w:r w:rsidR="004E76E6">
        <w:t>)</w:t>
      </w:r>
    </w:p>
    <w:p w:rsidR="004E76E6" w:rsidRDefault="009770AA" w:rsidP="009770AA">
      <w:pPr>
        <w:spacing w:after="0"/>
        <w:ind w:left="851" w:hanging="425"/>
      </w:pPr>
      <w:r w:rsidRPr="0096021C">
        <w:rPr>
          <w:b/>
        </w:rPr>
        <w:t>p40</w:t>
      </w:r>
      <w:r>
        <w:t xml:space="preserve"> </w:t>
      </w:r>
      <w:r>
        <w:t>–</w:t>
      </w:r>
      <w:r w:rsidR="004E76E6">
        <w:t xml:space="preserve"> </w:t>
      </w:r>
      <w:r w:rsidR="0021346F">
        <w:t>Clarification added (this is the case for resources, but it is not clear how this works for e.g. dataflow)</w:t>
      </w:r>
    </w:p>
    <w:p w:rsidR="004E76E6" w:rsidRDefault="009770AA" w:rsidP="009770AA">
      <w:pPr>
        <w:spacing w:after="0"/>
        <w:ind w:left="851" w:hanging="425"/>
      </w:pPr>
      <w:r w:rsidRPr="0096021C">
        <w:rPr>
          <w:b/>
        </w:rPr>
        <w:t>p43</w:t>
      </w:r>
      <w:r>
        <w:t xml:space="preserve"> </w:t>
      </w:r>
      <w:r>
        <w:t>–</w:t>
      </w:r>
      <w:r>
        <w:t xml:space="preserve"> </w:t>
      </w:r>
      <w:r w:rsidR="0021346F">
        <w:t xml:space="preserve">Corrected (changed as suggested; explained that this is presented mainly to show further example) </w:t>
      </w:r>
    </w:p>
    <w:p w:rsidR="004E76E6" w:rsidRDefault="009770AA" w:rsidP="009770AA">
      <w:pPr>
        <w:spacing w:after="0"/>
        <w:ind w:left="851" w:hanging="425"/>
      </w:pPr>
      <w:r w:rsidRPr="0096021C">
        <w:rPr>
          <w:b/>
        </w:rPr>
        <w:t>p50</w:t>
      </w:r>
      <w:r>
        <w:t xml:space="preserve"> </w:t>
      </w:r>
      <w:r>
        <w:t xml:space="preserve">– </w:t>
      </w:r>
      <w:r w:rsidR="0021346F">
        <w:t>Corrected as discussed in the “larger changes” section</w:t>
      </w:r>
    </w:p>
    <w:p w:rsidR="004E76E6" w:rsidRDefault="009770AA" w:rsidP="009770AA">
      <w:pPr>
        <w:spacing w:after="0"/>
        <w:ind w:left="851" w:hanging="425"/>
      </w:pPr>
      <w:r w:rsidRPr="0096021C">
        <w:rPr>
          <w:b/>
        </w:rPr>
        <w:t>p52</w:t>
      </w:r>
      <w:r>
        <w:t xml:space="preserve"> </w:t>
      </w:r>
      <w:r>
        <w:t xml:space="preserve">– </w:t>
      </w:r>
      <w:r w:rsidR="0021346F">
        <w:t>Fixed wording (removed unjustified claims and added one reference)</w:t>
      </w:r>
    </w:p>
    <w:p w:rsidR="004E76E6" w:rsidRDefault="009770AA" w:rsidP="009770AA">
      <w:pPr>
        <w:spacing w:after="0"/>
        <w:ind w:left="851" w:hanging="425"/>
      </w:pPr>
      <w:r w:rsidRPr="0096021C">
        <w:rPr>
          <w:b/>
        </w:rPr>
        <w:t>p</w:t>
      </w:r>
      <w:r w:rsidR="004E76E6" w:rsidRPr="0096021C">
        <w:rPr>
          <w:b/>
        </w:rPr>
        <w:t>5</w:t>
      </w:r>
      <w:r w:rsidRPr="0096021C">
        <w:rPr>
          <w:b/>
        </w:rPr>
        <w:t>7</w:t>
      </w:r>
      <w:r>
        <w:t xml:space="preserve"> </w:t>
      </w:r>
      <w:r>
        <w:t xml:space="preserve">– </w:t>
      </w:r>
      <w:r w:rsidR="0021346F">
        <w:t>Fixed wording (the definition should be seen as a sequence, however changing the notation throughout the thesis to a more usual sequence notation would likely lead to more confusion, so the original notation has been preserved)</w:t>
      </w:r>
    </w:p>
    <w:p w:rsidR="0021346F" w:rsidRDefault="009770AA" w:rsidP="0021346F">
      <w:pPr>
        <w:spacing w:after="0"/>
        <w:ind w:left="851" w:hanging="425"/>
      </w:pPr>
      <w:r w:rsidRPr="0096021C">
        <w:rPr>
          <w:b/>
        </w:rPr>
        <w:lastRenderedPageBreak/>
        <w:t>p</w:t>
      </w:r>
      <w:r w:rsidR="004E76E6" w:rsidRPr="0096021C">
        <w:rPr>
          <w:b/>
        </w:rPr>
        <w:t>75</w:t>
      </w:r>
      <w:r w:rsidR="004E76E6">
        <w:t xml:space="preserve"> </w:t>
      </w:r>
      <w:r>
        <w:t xml:space="preserve">– </w:t>
      </w:r>
      <w:r w:rsidR="0021346F">
        <w:t>Corrected as discussed in the “larger changes” section</w:t>
      </w:r>
    </w:p>
    <w:p w:rsidR="004E76E6" w:rsidRDefault="009770AA" w:rsidP="009770AA">
      <w:pPr>
        <w:spacing w:after="0"/>
        <w:ind w:left="851" w:hanging="425"/>
      </w:pPr>
      <w:r w:rsidRPr="0096021C">
        <w:rPr>
          <w:b/>
        </w:rPr>
        <w:t>p</w:t>
      </w:r>
      <w:r w:rsidR="004E76E6" w:rsidRPr="0096021C">
        <w:rPr>
          <w:b/>
        </w:rPr>
        <w:t>78</w:t>
      </w:r>
      <w:r w:rsidR="004E76E6">
        <w:t xml:space="preserve"> </w:t>
      </w:r>
      <w:r>
        <w:t xml:space="preserve">– </w:t>
      </w:r>
      <w:r w:rsidR="0021346F">
        <w:t>Corrected (the confusing text has been deleted)</w:t>
      </w:r>
    </w:p>
    <w:p w:rsidR="004E76E6" w:rsidRDefault="009770AA" w:rsidP="009770AA">
      <w:pPr>
        <w:spacing w:after="0"/>
        <w:ind w:left="851" w:hanging="425"/>
      </w:pPr>
      <w:r w:rsidRPr="0096021C">
        <w:rPr>
          <w:b/>
        </w:rPr>
        <w:t>p</w:t>
      </w:r>
      <w:r w:rsidR="004E76E6" w:rsidRPr="0096021C">
        <w:rPr>
          <w:b/>
        </w:rPr>
        <w:t>79</w:t>
      </w:r>
      <w:r w:rsidR="004E76E6">
        <w:t xml:space="preserve"> </w:t>
      </w:r>
      <w:r>
        <w:t xml:space="preserve">– </w:t>
      </w:r>
      <w:r w:rsidR="0021346F">
        <w:t>Improved as suggested (the suggestion makes the definition simpler)</w:t>
      </w:r>
    </w:p>
    <w:p w:rsidR="004E76E6" w:rsidRDefault="009770AA" w:rsidP="009770AA">
      <w:pPr>
        <w:spacing w:after="0"/>
        <w:ind w:left="851" w:hanging="425"/>
      </w:pPr>
      <w:r w:rsidRPr="0096021C">
        <w:rPr>
          <w:b/>
        </w:rPr>
        <w:t>p</w:t>
      </w:r>
      <w:r w:rsidR="004E76E6" w:rsidRPr="0096021C">
        <w:rPr>
          <w:b/>
        </w:rPr>
        <w:t>122</w:t>
      </w:r>
      <w:r w:rsidR="004E76E6">
        <w:t xml:space="preserve"> </w:t>
      </w:r>
      <w:r>
        <w:t xml:space="preserve">– </w:t>
      </w:r>
      <w:r w:rsidR="0021346F">
        <w:t>Removed unjustified claim and added a note about adjunction</w:t>
      </w:r>
    </w:p>
    <w:p w:rsidR="004E76E6" w:rsidRDefault="009770AA" w:rsidP="009770AA">
      <w:pPr>
        <w:spacing w:after="0"/>
        <w:ind w:left="851" w:hanging="425"/>
      </w:pPr>
      <w:r w:rsidRPr="0096021C">
        <w:rPr>
          <w:b/>
        </w:rPr>
        <w:t>p</w:t>
      </w:r>
      <w:r w:rsidR="004E76E6" w:rsidRPr="0096021C">
        <w:rPr>
          <w:b/>
        </w:rPr>
        <w:t>124</w:t>
      </w:r>
      <w:r w:rsidR="004E76E6">
        <w:t xml:space="preserve"> </w:t>
      </w:r>
      <w:r>
        <w:t xml:space="preserve">– </w:t>
      </w:r>
      <w:r w:rsidR="0021346F">
        <w:t>Clarified (the translation is not akin to the ‘do’ notation)</w:t>
      </w:r>
    </w:p>
    <w:p w:rsidR="004E76E6" w:rsidRDefault="009770AA" w:rsidP="009770AA">
      <w:pPr>
        <w:spacing w:after="0"/>
        <w:ind w:left="851" w:hanging="425"/>
      </w:pPr>
      <w:r w:rsidRPr="0096021C">
        <w:rPr>
          <w:b/>
        </w:rPr>
        <w:t>p</w:t>
      </w:r>
      <w:r w:rsidR="004E76E6" w:rsidRPr="0096021C">
        <w:rPr>
          <w:b/>
        </w:rPr>
        <w:t>125</w:t>
      </w:r>
      <w:r w:rsidR="004E76E6">
        <w:t xml:space="preserve"> </w:t>
      </w:r>
      <w:r>
        <w:t xml:space="preserve">– </w:t>
      </w:r>
      <w:r w:rsidR="0021346F">
        <w:t>Fixed wording (to use “get stuck” throughout the thesis)</w:t>
      </w:r>
    </w:p>
    <w:p w:rsidR="004E76E6" w:rsidRDefault="009770AA" w:rsidP="009770AA">
      <w:pPr>
        <w:spacing w:after="0"/>
        <w:ind w:left="851" w:hanging="425"/>
      </w:pPr>
      <w:r w:rsidRPr="0096021C">
        <w:rPr>
          <w:b/>
        </w:rPr>
        <w:t>p</w:t>
      </w:r>
      <w:r w:rsidR="004E76E6" w:rsidRPr="0096021C">
        <w:rPr>
          <w:b/>
        </w:rPr>
        <w:t>127</w:t>
      </w:r>
      <w:r w:rsidR="004E76E6">
        <w:t xml:space="preserve"> </w:t>
      </w:r>
      <w:r>
        <w:t xml:space="preserve">– </w:t>
      </w:r>
      <w:r w:rsidR="0021346F">
        <w:t xml:space="preserve">This has been renamed so that the core structure is “structural coeffect algebra” </w:t>
      </w:r>
    </w:p>
    <w:p w:rsidR="004E76E6" w:rsidRDefault="009770AA" w:rsidP="009770AA">
      <w:pPr>
        <w:spacing w:after="0"/>
        <w:ind w:left="851" w:hanging="425"/>
      </w:pPr>
      <w:r w:rsidRPr="0096021C">
        <w:rPr>
          <w:b/>
        </w:rPr>
        <w:t>p</w:t>
      </w:r>
      <w:r w:rsidRPr="0096021C">
        <w:rPr>
          <w:b/>
        </w:rPr>
        <w:t>130</w:t>
      </w:r>
      <w:r>
        <w:t xml:space="preserve"> </w:t>
      </w:r>
      <w:r>
        <w:t xml:space="preserve">– </w:t>
      </w:r>
      <w:r w:rsidR="00AA47D0">
        <w:t>Fixed wording (this was the wrong way round)</w:t>
      </w:r>
    </w:p>
    <w:p w:rsidR="004E76E6" w:rsidRDefault="009770AA" w:rsidP="00AA47D0">
      <w:pPr>
        <w:spacing w:after="0"/>
        <w:ind w:left="851" w:hanging="425"/>
      </w:pPr>
      <w:r w:rsidRPr="0096021C">
        <w:rPr>
          <w:b/>
        </w:rPr>
        <w:t>p</w:t>
      </w:r>
      <w:r w:rsidR="004E76E6" w:rsidRPr="0096021C">
        <w:rPr>
          <w:b/>
        </w:rPr>
        <w:t>141</w:t>
      </w:r>
      <w:r w:rsidR="004E76E6">
        <w:t xml:space="preserve"> </w:t>
      </w:r>
      <w:r>
        <w:t xml:space="preserve">– </w:t>
      </w:r>
      <w:r w:rsidR="00AA47D0">
        <w:t>Corrected as discussed in the “larger changes” section</w:t>
      </w:r>
    </w:p>
    <w:p w:rsidR="004E76E6" w:rsidRDefault="009770AA" w:rsidP="009770AA">
      <w:pPr>
        <w:spacing w:after="0"/>
        <w:ind w:left="851" w:hanging="425"/>
      </w:pPr>
      <w:r w:rsidRPr="0096021C">
        <w:rPr>
          <w:b/>
        </w:rPr>
        <w:t>p</w:t>
      </w:r>
      <w:r w:rsidR="004E76E6" w:rsidRPr="0096021C">
        <w:rPr>
          <w:b/>
        </w:rPr>
        <w:t>157</w:t>
      </w:r>
      <w:r w:rsidR="004E76E6">
        <w:t xml:space="preserve"> </w:t>
      </w:r>
      <w:r>
        <w:t xml:space="preserve">– </w:t>
      </w:r>
      <w:r w:rsidR="00AA47D0">
        <w:t>The suggestion was considered, but there is no reusable framework that could be referred to</w:t>
      </w:r>
    </w:p>
    <w:p w:rsidR="004E76E6" w:rsidRDefault="009770AA" w:rsidP="009770AA">
      <w:pPr>
        <w:spacing w:after="0"/>
        <w:ind w:left="851" w:hanging="425"/>
      </w:pPr>
      <w:r w:rsidRPr="0096021C">
        <w:rPr>
          <w:b/>
        </w:rPr>
        <w:t>p</w:t>
      </w:r>
      <w:r w:rsidR="004E76E6" w:rsidRPr="0096021C">
        <w:rPr>
          <w:b/>
        </w:rPr>
        <w:t>160</w:t>
      </w:r>
      <w:r w:rsidR="004E76E6">
        <w:t xml:space="preserve"> </w:t>
      </w:r>
      <w:r>
        <w:t xml:space="preserve">– </w:t>
      </w:r>
      <w:r w:rsidR="00AA47D0">
        <w:t>Clarification added (explaining that in our work, changes to the core language are needed)</w:t>
      </w:r>
    </w:p>
    <w:p w:rsidR="004E76E6" w:rsidRDefault="009770AA" w:rsidP="009770AA">
      <w:pPr>
        <w:spacing w:after="0"/>
        <w:ind w:left="851" w:hanging="425"/>
      </w:pPr>
      <w:r w:rsidRPr="0096021C">
        <w:rPr>
          <w:b/>
        </w:rPr>
        <w:t>p</w:t>
      </w:r>
      <w:r w:rsidR="004E76E6" w:rsidRPr="0096021C">
        <w:rPr>
          <w:b/>
        </w:rPr>
        <w:t>168</w:t>
      </w:r>
      <w:r w:rsidR="004E76E6">
        <w:t xml:space="preserve"> </w:t>
      </w:r>
      <w:r>
        <w:t xml:space="preserve">– </w:t>
      </w:r>
      <w:r w:rsidR="00AA47D0">
        <w:t>The possibility of archiving the essay will be investigated</w:t>
      </w:r>
    </w:p>
    <w:p w:rsidR="00F55158" w:rsidRDefault="00F55158" w:rsidP="009770AA">
      <w:pPr>
        <w:spacing w:after="0"/>
        <w:ind w:left="851" w:hanging="425"/>
      </w:pPr>
      <w:r>
        <w:rPr>
          <w:b/>
        </w:rPr>
        <w:t xml:space="preserve">p173 </w:t>
      </w:r>
      <w:r>
        <w:t>– The same renaming as on p125 has been done in Chapter 8</w:t>
      </w:r>
    </w:p>
    <w:p w:rsidR="004E76E6" w:rsidRDefault="009770AA" w:rsidP="009770AA">
      <w:pPr>
        <w:spacing w:after="0"/>
        <w:ind w:left="851" w:hanging="425"/>
      </w:pPr>
      <w:r w:rsidRPr="0096021C">
        <w:rPr>
          <w:b/>
        </w:rPr>
        <w:t>p</w:t>
      </w:r>
      <w:r w:rsidR="004E76E6" w:rsidRPr="0096021C">
        <w:rPr>
          <w:b/>
        </w:rPr>
        <w:t>184</w:t>
      </w:r>
      <w:r w:rsidR="004E76E6">
        <w:t xml:space="preserve"> </w:t>
      </w:r>
      <w:r>
        <w:t xml:space="preserve">– </w:t>
      </w:r>
      <w:r w:rsidR="00AA47D0">
        <w:t xml:space="preserve">The chapter has been renamed to reflect the fact that it contains further contribution </w:t>
      </w:r>
    </w:p>
    <w:p w:rsidR="004E76E6" w:rsidRDefault="004E76E6" w:rsidP="009770AA">
      <w:pPr>
        <w:spacing w:after="0"/>
        <w:ind w:left="851"/>
      </w:pPr>
      <w:bookmarkStart w:id="0" w:name="_GoBack"/>
      <w:bookmarkEnd w:id="0"/>
    </w:p>
    <w:p w:rsidR="00AA47D0" w:rsidRDefault="00AA47D0" w:rsidP="00AA47D0">
      <w:pPr>
        <w:pStyle w:val="Heading2"/>
      </w:pPr>
      <w:r>
        <w:t xml:space="preserve">Other </w:t>
      </w:r>
      <w:r>
        <w:t>changes</w:t>
      </w:r>
    </w:p>
    <w:p w:rsidR="00974A31" w:rsidRDefault="00AA47D0" w:rsidP="00974A31">
      <w:pPr>
        <w:pStyle w:val="ListParagraph"/>
        <w:numPr>
          <w:ilvl w:val="0"/>
          <w:numId w:val="1"/>
        </w:numPr>
        <w:spacing w:after="0"/>
      </w:pPr>
      <w:r>
        <w:t>The typos highlighted in the annotated version of the thesis have been corrected.</w:t>
      </w:r>
    </w:p>
    <w:p w:rsidR="00974A31" w:rsidRPr="00B57687" w:rsidRDefault="00974A31" w:rsidP="00974A31">
      <w:pPr>
        <w:pStyle w:val="ListParagraph"/>
        <w:numPr>
          <w:ilvl w:val="0"/>
          <w:numId w:val="1"/>
        </w:numPr>
        <w:spacing w:after="0"/>
      </w:pPr>
      <w:r>
        <w:t>References have been corrected to include detailed data; capitalization has been corrected</w:t>
      </w:r>
    </w:p>
    <w:p w:rsidR="008C03ED" w:rsidRPr="00B57687" w:rsidRDefault="008C03ED" w:rsidP="00974A31">
      <w:pPr>
        <w:spacing w:after="0"/>
        <w:ind w:left="425" w:hanging="425"/>
      </w:pPr>
    </w:p>
    <w:sectPr w:rsidR="008C03ED" w:rsidRPr="00B5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nos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71409"/>
    <w:multiLevelType w:val="hybridMultilevel"/>
    <w:tmpl w:val="620AB9BC"/>
    <w:lvl w:ilvl="0" w:tplc="8B76C508">
      <w:start w:val="8"/>
      <w:numFmt w:val="bullet"/>
      <w:lvlText w:val="-"/>
      <w:lvlJc w:val="left"/>
      <w:pPr>
        <w:ind w:left="720" w:hanging="360"/>
      </w:pPr>
      <w:rPr>
        <w:rFonts w:ascii="Tinos" w:eastAsiaTheme="minorEastAsia" w:hAnsi="Tinos" w:cs="Tino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27979"/>
    <w:multiLevelType w:val="hybridMultilevel"/>
    <w:tmpl w:val="CD36421E"/>
    <w:lvl w:ilvl="0" w:tplc="3844E41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316CE"/>
    <w:multiLevelType w:val="hybridMultilevel"/>
    <w:tmpl w:val="37EA9776"/>
    <w:lvl w:ilvl="0" w:tplc="3844E41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ED"/>
    <w:rsid w:val="0021346F"/>
    <w:rsid w:val="004E76E6"/>
    <w:rsid w:val="005E05AC"/>
    <w:rsid w:val="007840F8"/>
    <w:rsid w:val="0087229F"/>
    <w:rsid w:val="008C03ED"/>
    <w:rsid w:val="0096021C"/>
    <w:rsid w:val="00974A31"/>
    <w:rsid w:val="009770AA"/>
    <w:rsid w:val="00AA47D0"/>
    <w:rsid w:val="00B57687"/>
    <w:rsid w:val="00C31844"/>
    <w:rsid w:val="00F5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EEB5"/>
  <w15:chartTrackingRefBased/>
  <w15:docId w15:val="{10F9C834-B053-46FC-89BA-FD2F5F9B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C03ED"/>
  </w:style>
  <w:style w:type="paragraph" w:styleId="Heading1">
    <w:name w:val="heading 1"/>
    <w:basedOn w:val="Normal"/>
    <w:next w:val="Normal"/>
    <w:link w:val="Heading1Char"/>
    <w:uiPriority w:val="9"/>
    <w:qFormat/>
    <w:rsid w:val="008C03E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687"/>
    <w:pPr>
      <w:keepNext/>
      <w:keepLines/>
      <w:spacing w:before="80" w:after="4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3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3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3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3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0000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3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3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00000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3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3E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7687"/>
    <w:rPr>
      <w:rFonts w:asciiTheme="majorHAnsi" w:eastAsiaTheme="majorEastAsia" w:hAnsiTheme="majorHAnsi" w:cstheme="majorBidi"/>
      <w:color w:val="404040" w:themeColor="text1" w:themeTint="BF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C03ED"/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C03E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3ED"/>
    <w:rPr>
      <w:rFonts w:asciiTheme="majorHAnsi" w:eastAsiaTheme="majorEastAsia" w:hAnsiTheme="majorHAnsi" w:cstheme="majorBidi"/>
      <w:color w:val="000000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3ED"/>
    <w:rPr>
      <w:rFonts w:asciiTheme="majorHAnsi" w:eastAsiaTheme="majorEastAsia" w:hAnsiTheme="majorHAnsi" w:cstheme="majorBidi"/>
      <w:i/>
      <w:iCs/>
      <w:color w:val="000000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3ED"/>
    <w:rPr>
      <w:rFonts w:asciiTheme="majorHAnsi" w:eastAsiaTheme="majorEastAsia" w:hAnsiTheme="majorHAnsi" w:cstheme="majorBidi"/>
      <w:i/>
      <w:iCs/>
      <w:color w:val="6E6E6E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3ED"/>
    <w:rPr>
      <w:rFonts w:asciiTheme="majorHAnsi" w:eastAsiaTheme="majorEastAsia" w:hAnsiTheme="majorHAnsi" w:cstheme="majorBidi"/>
      <w:b/>
      <w:bCs/>
      <w:color w:val="000000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3ED"/>
    <w:rPr>
      <w:rFonts w:asciiTheme="majorHAnsi" w:eastAsiaTheme="majorEastAsia" w:hAnsiTheme="majorHAnsi" w:cstheme="majorBidi"/>
      <w:b/>
      <w:bCs/>
      <w:i/>
      <w:iCs/>
      <w:color w:val="000000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03E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C03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DDDDD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3ED"/>
    <w:rPr>
      <w:rFonts w:asciiTheme="majorHAnsi" w:eastAsiaTheme="majorEastAsia" w:hAnsiTheme="majorHAnsi" w:cstheme="majorBidi"/>
      <w:color w:val="DDDDD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3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C03E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C03ED"/>
    <w:rPr>
      <w:b/>
      <w:bCs/>
    </w:rPr>
  </w:style>
  <w:style w:type="character" w:styleId="Emphasis">
    <w:name w:val="Emphasis"/>
    <w:basedOn w:val="DefaultParagraphFont"/>
    <w:uiPriority w:val="20"/>
    <w:qFormat/>
    <w:rsid w:val="008C03ED"/>
    <w:rPr>
      <w:i/>
      <w:iCs/>
    </w:rPr>
  </w:style>
  <w:style w:type="paragraph" w:styleId="NoSpacing">
    <w:name w:val="No Spacing"/>
    <w:uiPriority w:val="1"/>
    <w:qFormat/>
    <w:rsid w:val="008C03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03E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3E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3ED"/>
    <w:pPr>
      <w:pBdr>
        <w:left w:val="single" w:sz="18" w:space="12" w:color="DDDDD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3ED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C03E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C03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03E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C03E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C03E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03ED"/>
    <w:pPr>
      <w:outlineLvl w:val="9"/>
    </w:pPr>
  </w:style>
  <w:style w:type="paragraph" w:styleId="ListParagraph">
    <w:name w:val="List Paragraph"/>
    <w:basedOn w:val="Normal"/>
    <w:uiPriority w:val="34"/>
    <w:qFormat/>
    <w:rsid w:val="00C31844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B5768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57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nos">
      <a:majorFont>
        <a:latin typeface="Tinos"/>
        <a:ea typeface=""/>
        <a:cs typeface=""/>
      </a:majorFont>
      <a:minorFont>
        <a:latin typeface="Tin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Petricek</dc:creator>
  <cp:keywords/>
  <dc:description/>
  <cp:lastModifiedBy>Tomas Petricek</cp:lastModifiedBy>
  <cp:revision>2</cp:revision>
  <dcterms:created xsi:type="dcterms:W3CDTF">2017-01-24T13:16:00Z</dcterms:created>
  <dcterms:modified xsi:type="dcterms:W3CDTF">2017-01-24T15:59:00Z</dcterms:modified>
</cp:coreProperties>
</file>