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 e salvar tudo em Documentos Armazenados.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0"/>
        </w:rPr>
        <w:t>🤖 Gerar com IA: cole a User Story / descrição do Work Item (ou anexe documentos em "Contexto"), informe a Base URL e clique em "Gerar casos com IA". A bateria inteira aparece pronta no editor — sucesso, validações de campos, credenciais inválidas, regras de negócio e uso do token — e você só revisa, preenche as senhas (elas nunca vão pra IA) e executa. É a forma recomendada: não precisa de Postman nem de escrever 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Marque "Secreto" para senhas e tokens — o valor é pedido num campo de senha, fica só na sessão e sai mascarado (***MASCARADO***) de toda evidência. Cada campo secreto indica se é obrigatório (usado por algum caso habilitado) ou opcional (preenchido por extração, ou usado só por caso desabilitado). Um caso pode extrair um valor da resposta pra uma variável (ex.: data.token → auth_token) e os casos seguintes usam {{auth_token}} — por isso a ordem importa (dá pra subir/descer os casos).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