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pStyle w:val="Heading2"/>
        <w:spacing w:after="100" w:before="220"/>
      </w:pPr>
      <w:r>
        <w:rPr>
          <w:b/>
          <w:sz w:val="22"/>
        </w:rPr>
        <w:t>4.1 Configurações do app (aba ⚙️ Configurações)</w:t>
      </w:r>
    </w:p>
    <w:p>
      <w:pPr>
        <w:spacing w:after="120"/>
      </w:pPr>
      <w:r>
        <w:rPr>
          <w:sz w:val="20"/>
        </w:rPr>
        <w:t>Configurações globais — valem para todos os usuários e só o dono altera. Hoje existe uma: de onde saem as chamadas dos Testes de API.</w:t>
      </w:r>
    </w:p>
    <w:p>
      <w:pPr>
        <w:spacing w:after="120"/>
      </w:pPr>
      <w:r>
        <w:rPr>
          <w:sz w:val="20"/>
        </w:rPr>
        <w:t>Navegador do usuário (padrão): as requisições são feitas pelo navegador de quem está usando o app, com o IP da pessoa — o mesmo que funciona no Postman. É o modo necessário para o HML, cujo WAF (CloudFront) bloqueia servidores em nuvem (Streamlit Cloud, n8n). Exige que a API aceite CORS a partir do app.</w:t>
      </w:r>
    </w:p>
    <w:p>
      <w:pPr>
        <w:spacing w:after="120"/>
      </w:pPr>
      <w:r>
        <w:rPr>
          <w:sz w:val="20"/>
        </w:rPr>
        <w:t>Servidor do app: as requisições saem do Streamlit Cloud. Use para APIs sem bloqueio de origem ou que não permitam CORS.</w:t>
      </w:r>
    </w:p>
    <w:p>
      <w:pPr>
        <w:spacing w:after="120"/>
      </w:pPr>
      <w:r>
        <w:rPr>
          <w:sz w:val="20"/>
        </w:rPr>
        <w:t>💡 A mudança vale para todos imediatamente; quem já estiver logado passa a usar o novo modo ao abrir uma nova sessão. Os usuários não escolhem o modo — só veem uma linha informativa na etapa de execução.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 e Usuário de login (obrigatórios). A Senha é opcional ao editar: deixe em branco pra manter a senha atual da pessoa — assim você mexe em permissões, e-mail ou modo de acesso sem precisar saber nem redefinir a senha dela. Só preencha a senha se quiser realmente trocá-la. (Ao CRIAR um usuário novo, a senha continua obrigatória.)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Dez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  <w:tr>
        <w:tc>
          <w:tcPr>
            <w:tcW w:type="dxa" w:w="2600"/>
          </w:tcPr>
          <w:p>
            <w:r>
              <w:rPr>
                <w:b w:val="0"/>
                <w:sz w:val="18"/>
              </w:rPr>
              <w:t>testes_api</w:t>
            </w:r>
          </w:p>
        </w:tc>
        <w:tc>
          <w:tcPr>
            <w:tcW w:type="dxa" w:w="6900"/>
          </w:tcPr>
          <w:p>
            <w:r>
              <w:rPr>
                <w:b w:val="0"/>
                <w:sz w:val="18"/>
              </w:rPr>
              <w:t>Testes de API (executar collections do Postman / casos criados na tela e gerar evidências .md/.pdf/.zip)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tenta de novo sozinho: quando uma chamada de IA falha (em qualquer área — análise do documento, imagens, Matriz/Casos/Planos, vínculos, textos do relatório, WIQL, manual ou testes de API), espera cerca de 62s (a janela do rate limit) e tenta a mesma chamada de novo, até 3 vezes, antes de desistir de verdade; entre lotes que deram certo espera só 5s. Se o erro persistir depois disso, aí sim vale investigar o provedor específico citado na mensagem de erro. Nos Testes de API, a mensagem de erro já lista o motivo de cada provedor (ex.: "Gemini: too many requests", "Mistral: 429") — quase sempre é cota por minuto/dia dos planos gratuitos; a solução definitiva é um plano pago em pelo menos um provedor (vale para todos os workflows).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