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5C71C450" w:rsidR="00FA1553" w:rsidRDefault="004D77E3">
      <w:pPr>
        <w:rPr>
          <w:rFonts w:ascii="Arial" w:hAnsi="Arial" w:cs="Arial"/>
          <w:b/>
          <w:bCs/>
          <w:sz w:val="30"/>
          <w:szCs w:val="30"/>
        </w:rPr>
      </w:pPr>
      <w:r w:rsidRPr="004D77E3"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311618">
        <w:rPr>
          <w:rFonts w:ascii="Arial" w:hAnsi="Arial" w:cs="Arial"/>
          <w:b/>
          <w:bCs/>
          <w:sz w:val="30"/>
          <w:szCs w:val="30"/>
        </w:rPr>
        <w:t>Técnicas de Testes</w:t>
      </w:r>
    </w:p>
    <w:p w14:paraId="377C2AE7" w14:textId="77777777" w:rsidR="004D77E3" w:rsidRDefault="004D77E3">
      <w:pPr>
        <w:rPr>
          <w:rFonts w:ascii="Arial" w:hAnsi="Arial" w:cs="Arial"/>
          <w:sz w:val="24"/>
          <w:szCs w:val="24"/>
        </w:rPr>
      </w:pPr>
    </w:p>
    <w:p w14:paraId="161015FE" w14:textId="09FC4D9E" w:rsidR="004D77E3" w:rsidRDefault="00F45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Funcional</w:t>
      </w:r>
      <w:r w:rsidR="000A4941">
        <w:rPr>
          <w:rFonts w:ascii="Arial" w:hAnsi="Arial" w:cs="Arial"/>
          <w:b/>
          <w:bCs/>
          <w:sz w:val="24"/>
          <w:szCs w:val="24"/>
        </w:rPr>
        <w:t xml:space="preserve"> (Caixa-Preta)</w:t>
      </w:r>
      <w:r w:rsidR="00CE5951">
        <w:rPr>
          <w:rFonts w:ascii="Arial" w:hAnsi="Arial" w:cs="Arial"/>
          <w:sz w:val="24"/>
          <w:szCs w:val="24"/>
        </w:rPr>
        <w:t xml:space="preserve"> – Utiliza informações das Especificações do Software;</w:t>
      </w:r>
    </w:p>
    <w:p w14:paraId="78CCFA4E" w14:textId="6E7954F4" w:rsidR="002767CB" w:rsidRPr="00E34B5F" w:rsidRDefault="00E34B5F" w:rsidP="00E34B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67CB" w:rsidRPr="00E34B5F">
        <w:rPr>
          <w:rFonts w:ascii="Arial" w:hAnsi="Arial" w:cs="Arial"/>
          <w:sz w:val="24"/>
          <w:szCs w:val="24"/>
        </w:rPr>
        <w:t>Utilizado em todas as fases de testes.</w:t>
      </w:r>
    </w:p>
    <w:p w14:paraId="54B94194" w14:textId="77777777" w:rsidR="00F45521" w:rsidRDefault="00F45521">
      <w:pPr>
        <w:rPr>
          <w:rFonts w:ascii="Arial" w:hAnsi="Arial" w:cs="Arial"/>
          <w:b/>
          <w:bCs/>
          <w:sz w:val="24"/>
          <w:szCs w:val="24"/>
        </w:rPr>
      </w:pPr>
    </w:p>
    <w:p w14:paraId="74417581" w14:textId="69B3118D" w:rsidR="00F45521" w:rsidRPr="00CE5951" w:rsidRDefault="00F45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Estrutural</w:t>
      </w:r>
      <w:r w:rsidR="00CE5951">
        <w:rPr>
          <w:rFonts w:ascii="Arial" w:hAnsi="Arial" w:cs="Arial"/>
          <w:sz w:val="24"/>
          <w:szCs w:val="24"/>
        </w:rPr>
        <w:t xml:space="preserve"> – Utiliza informações da Estrutura Interna do programa: Implementação, Código-Fonte, etc.;</w:t>
      </w:r>
    </w:p>
    <w:p w14:paraId="4CE34A06" w14:textId="77777777" w:rsidR="00F45521" w:rsidRDefault="00F45521">
      <w:pPr>
        <w:rPr>
          <w:rFonts w:ascii="Arial" w:hAnsi="Arial" w:cs="Arial"/>
          <w:b/>
          <w:bCs/>
          <w:sz w:val="24"/>
          <w:szCs w:val="24"/>
        </w:rPr>
      </w:pPr>
    </w:p>
    <w:p w14:paraId="5D63D750" w14:textId="0F9E070E" w:rsidR="00F45521" w:rsidRPr="002767CB" w:rsidRDefault="00F45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Baseado em Defeitos</w:t>
      </w:r>
      <w:r w:rsidR="00CE5951">
        <w:rPr>
          <w:rFonts w:ascii="Arial" w:hAnsi="Arial" w:cs="Arial"/>
          <w:sz w:val="24"/>
          <w:szCs w:val="24"/>
        </w:rPr>
        <w:t xml:space="preserve"> – Utiliza como base os Defeitos Típicos da implementação e software</w:t>
      </w:r>
      <w:r w:rsidR="002767CB">
        <w:rPr>
          <w:rFonts w:ascii="Arial" w:hAnsi="Arial" w:cs="Arial"/>
          <w:sz w:val="24"/>
          <w:szCs w:val="24"/>
        </w:rPr>
        <w:t xml:space="preserve"> – </w:t>
      </w:r>
      <w:r w:rsidR="002767CB" w:rsidRPr="002767CB">
        <w:rPr>
          <w:rFonts w:ascii="Arial" w:hAnsi="Arial" w:cs="Arial"/>
          <w:b/>
          <w:bCs/>
          <w:sz w:val="24"/>
          <w:szCs w:val="24"/>
        </w:rPr>
        <w:t>Testes de Mutação</w:t>
      </w:r>
      <w:r w:rsidR="002767CB">
        <w:rPr>
          <w:rFonts w:ascii="Arial" w:hAnsi="Arial" w:cs="Arial"/>
          <w:sz w:val="24"/>
          <w:szCs w:val="24"/>
        </w:rPr>
        <w:t>.</w:t>
      </w:r>
    </w:p>
    <w:p w14:paraId="66BCBDB6" w14:textId="77777777" w:rsidR="00CE5951" w:rsidRDefault="00CE5951">
      <w:pPr>
        <w:rPr>
          <w:rFonts w:ascii="Arial" w:hAnsi="Arial" w:cs="Arial"/>
          <w:sz w:val="24"/>
          <w:szCs w:val="24"/>
        </w:rPr>
      </w:pPr>
    </w:p>
    <w:p w14:paraId="52410B24" w14:textId="0CAC5F55" w:rsidR="003266B8" w:rsidRDefault="004B7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Funcional: Particionamento em Classe de Equivalência</w:t>
      </w:r>
      <w:r w:rsidR="003266B8">
        <w:rPr>
          <w:rFonts w:ascii="Arial" w:hAnsi="Arial" w:cs="Arial"/>
          <w:b/>
          <w:bCs/>
          <w:sz w:val="24"/>
          <w:szCs w:val="24"/>
        </w:rPr>
        <w:t xml:space="preserve">: </w:t>
      </w:r>
      <w:r w:rsidR="003266B8">
        <w:rPr>
          <w:rFonts w:ascii="Arial" w:hAnsi="Arial" w:cs="Arial"/>
          <w:sz w:val="24"/>
          <w:szCs w:val="24"/>
        </w:rPr>
        <w:t>Basicamente, todos os aspectos da técnica de Teste Funcional, baseiam-se nas especificações do produto testado.</w:t>
      </w:r>
    </w:p>
    <w:p w14:paraId="47A4EE21" w14:textId="77777777" w:rsidR="003266B8" w:rsidRDefault="003266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do Teste Funcional:</w:t>
      </w:r>
    </w:p>
    <w:p w14:paraId="6929F8F9" w14:textId="1C1A1A88" w:rsidR="003C5B5E" w:rsidRDefault="007E5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Critério de </w:t>
      </w:r>
      <w:r w:rsidR="003266B8" w:rsidRPr="00DC6C98">
        <w:rPr>
          <w:rFonts w:ascii="Arial" w:hAnsi="Arial" w:cs="Arial"/>
          <w:b/>
          <w:bCs/>
          <w:sz w:val="24"/>
          <w:szCs w:val="24"/>
        </w:rPr>
        <w:t xml:space="preserve">Particionamento em Classe de Equivalência: </w:t>
      </w:r>
      <w:r w:rsidR="00DC6C98">
        <w:rPr>
          <w:rFonts w:ascii="Arial" w:hAnsi="Arial" w:cs="Arial"/>
          <w:sz w:val="24"/>
          <w:szCs w:val="24"/>
        </w:rPr>
        <w:t>Utilizado quando as possibilidades de entradas de testes são muito grandes ou infinitas</w:t>
      </w:r>
      <w:r w:rsidR="003C5B5E">
        <w:rPr>
          <w:rFonts w:ascii="Arial" w:hAnsi="Arial" w:cs="Arial"/>
          <w:sz w:val="24"/>
          <w:szCs w:val="24"/>
        </w:rPr>
        <w:t>.</w:t>
      </w:r>
    </w:p>
    <w:p w14:paraId="6B6F553D" w14:textId="307885E9" w:rsidR="003C5B5E" w:rsidRDefault="003C5B5E">
      <w:pPr>
        <w:rPr>
          <w:rFonts w:ascii="Arial" w:hAnsi="Arial" w:cs="Arial"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1 </w:t>
      </w:r>
      <w:r>
        <w:rPr>
          <w:rFonts w:ascii="Arial" w:hAnsi="Arial" w:cs="Arial"/>
          <w:b/>
          <w:bCs/>
          <w:sz w:val="24"/>
          <w:szCs w:val="24"/>
        </w:rPr>
        <w:t>– Identificar as Classe de Equivalência, a partir das regras de negócio:</w:t>
      </w:r>
    </w:p>
    <w:p w14:paraId="1A5E57F4" w14:textId="22696673" w:rsidR="00DC6C98" w:rsidRDefault="00DC6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Divid</w:t>
      </w:r>
      <w:r w:rsidR="00C86613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o domínio de entrada em </w:t>
      </w:r>
      <w:r w:rsidR="00DD50D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lasse de </w:t>
      </w:r>
      <w:r w:rsidR="00DD50D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quivalência (subconjuntos), contendo elementos que representam o subconjunto em si, a partir das especificações do produto;</w:t>
      </w:r>
    </w:p>
    <w:p w14:paraId="6F8F3B02" w14:textId="54395165" w:rsidR="006E1676" w:rsidRDefault="00DC6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E1676">
        <w:rPr>
          <w:rFonts w:ascii="Arial" w:hAnsi="Arial" w:cs="Arial"/>
          <w:sz w:val="24"/>
          <w:szCs w:val="24"/>
        </w:rPr>
        <w:t>A partir da análise das especificações do produto, podemos identificar as Classes a serem abordadas;</w:t>
      </w:r>
    </w:p>
    <w:p w14:paraId="16B4EED8" w14:textId="35F4614A" w:rsidR="00BA6956" w:rsidRDefault="006E1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B180A">
        <w:rPr>
          <w:rFonts w:ascii="Arial" w:hAnsi="Arial" w:cs="Arial"/>
          <w:sz w:val="24"/>
          <w:szCs w:val="24"/>
        </w:rPr>
        <w:t xml:space="preserve">Caso os elementos de uma classe sejam tratados de formas diferentes, devemos </w:t>
      </w:r>
      <w:r w:rsidR="00BA6956">
        <w:rPr>
          <w:rFonts w:ascii="Arial" w:hAnsi="Arial" w:cs="Arial"/>
          <w:sz w:val="24"/>
          <w:szCs w:val="24"/>
        </w:rPr>
        <w:t>dividir essa classe em subclasses;</w:t>
      </w:r>
    </w:p>
    <w:p w14:paraId="231DE86C" w14:textId="7B45264D" w:rsidR="00C86613" w:rsidRDefault="00BA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86613">
        <w:rPr>
          <w:rFonts w:ascii="Arial" w:hAnsi="Arial" w:cs="Arial"/>
          <w:sz w:val="24"/>
          <w:szCs w:val="24"/>
        </w:rPr>
        <w:t>Definir classes válidas e inválidas(?).</w:t>
      </w:r>
    </w:p>
    <w:p w14:paraId="00BACC69" w14:textId="0BA4AFC1" w:rsidR="006E1676" w:rsidRDefault="00C86613">
      <w:pPr>
        <w:rPr>
          <w:rFonts w:ascii="Arial" w:hAnsi="Arial" w:cs="Arial"/>
          <w:b/>
          <w:bCs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 w:rsidR="004B4DAB">
        <w:rPr>
          <w:rFonts w:ascii="Arial" w:hAnsi="Arial" w:cs="Arial"/>
          <w:b/>
          <w:bCs/>
          <w:sz w:val="24"/>
          <w:szCs w:val="24"/>
        </w:rPr>
        <w:t>Gerar Casos de Teste para cada elemento das classes</w:t>
      </w:r>
      <w:r w:rsidR="00833A29">
        <w:rPr>
          <w:rFonts w:ascii="Arial" w:hAnsi="Arial" w:cs="Arial"/>
          <w:b/>
          <w:bCs/>
          <w:sz w:val="24"/>
          <w:szCs w:val="24"/>
        </w:rPr>
        <w:t>:</w:t>
      </w:r>
    </w:p>
    <w:p w14:paraId="79F59595" w14:textId="48471D63" w:rsidR="00294D28" w:rsidRDefault="00A54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Condição de Entrada sendo um Intervalo</w:t>
      </w:r>
      <w:r w:rsidR="00AA492F">
        <w:rPr>
          <w:rFonts w:ascii="Arial" w:hAnsi="Arial" w:cs="Arial"/>
          <w:sz w:val="24"/>
          <w:szCs w:val="24"/>
        </w:rPr>
        <w:t xml:space="preserve"> entre elementos, ou que especifique uma Quantidade de elementos de entrada</w:t>
      </w:r>
      <w:r w:rsidR="00294D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definimos uma Classe Válida e duas Classes</w:t>
      </w:r>
      <w:r w:rsidR="00294D28">
        <w:rPr>
          <w:rFonts w:ascii="Arial" w:hAnsi="Arial" w:cs="Arial"/>
          <w:sz w:val="24"/>
          <w:szCs w:val="24"/>
        </w:rPr>
        <w:t xml:space="preserve"> Inválidas, por exemplo:</w:t>
      </w:r>
    </w:p>
    <w:p w14:paraId="3F3CAB4F" w14:textId="167A55DC" w:rsidR="00C86613" w:rsidRDefault="00294D28" w:rsidP="00294D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Entrada que admite números de 1 a 10 – fazemos uma Classe Válida, para testes com números de 1 a 10, e duas Classes Inválidas, uma para os números menores que 1 e outra para os números maior</w:t>
      </w:r>
      <w:r w:rsidR="00AA492F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que 10;</w:t>
      </w:r>
    </w:p>
    <w:p w14:paraId="23E2F6BB" w14:textId="6EE8C58B" w:rsidR="00AA492F" w:rsidRDefault="00AA492F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740CE0">
        <w:rPr>
          <w:rFonts w:ascii="Arial" w:hAnsi="Arial" w:cs="Arial"/>
          <w:sz w:val="24"/>
          <w:szCs w:val="24"/>
        </w:rPr>
        <w:t>Condição de Entrada Específica – definimos uma Classe Válida e uma Classe Inválida, por exemplo:</w:t>
      </w:r>
    </w:p>
    <w:p w14:paraId="34431F29" w14:textId="1D4F0C16" w:rsidR="000539E3" w:rsidRDefault="00740CE0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0539E3">
        <w:rPr>
          <w:rFonts w:ascii="Arial" w:hAnsi="Arial" w:cs="Arial"/>
          <w:sz w:val="24"/>
          <w:szCs w:val="24"/>
        </w:rPr>
        <w:t>Entrada que admite, apenas, letras – fazemos uma Classe Válida, para testes com letras, e uma Classe Inválida, para outros tipos de caracteres, diferentes de letras</w:t>
      </w:r>
      <w:r w:rsidR="003C5B5E">
        <w:rPr>
          <w:rFonts w:ascii="Arial" w:hAnsi="Arial" w:cs="Arial"/>
          <w:sz w:val="24"/>
          <w:szCs w:val="24"/>
        </w:rPr>
        <w:t>.</w:t>
      </w:r>
    </w:p>
    <w:p w14:paraId="26E50C07" w14:textId="77777777" w:rsidR="003C5B5E" w:rsidRDefault="003C5B5E" w:rsidP="00AA492F">
      <w:pPr>
        <w:rPr>
          <w:rFonts w:ascii="Arial" w:hAnsi="Arial" w:cs="Arial"/>
          <w:sz w:val="24"/>
          <w:szCs w:val="24"/>
        </w:rPr>
      </w:pPr>
    </w:p>
    <w:p w14:paraId="168B8073" w14:textId="246EA368" w:rsidR="003C5B5E" w:rsidRDefault="007E5895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Critério de Análise do Valor Limite: </w:t>
      </w:r>
      <w:r w:rsidR="00AF085E">
        <w:rPr>
          <w:rFonts w:ascii="Arial" w:hAnsi="Arial" w:cs="Arial"/>
          <w:sz w:val="24"/>
          <w:szCs w:val="24"/>
        </w:rPr>
        <w:t xml:space="preserve">Utilizado para selecionar os Dados de Testes considerando o Valor Limite de cada Classe de Equivalência. </w:t>
      </w:r>
      <w:r w:rsidR="00DD50D1">
        <w:rPr>
          <w:rFonts w:ascii="Arial" w:hAnsi="Arial" w:cs="Arial"/>
          <w:sz w:val="24"/>
          <w:szCs w:val="24"/>
        </w:rPr>
        <w:t>Complementa os resultados do Particionamento em Classe de Equivalência</w:t>
      </w:r>
      <w:r w:rsidR="00AF085E">
        <w:rPr>
          <w:rFonts w:ascii="Arial" w:hAnsi="Arial" w:cs="Arial"/>
          <w:sz w:val="24"/>
          <w:szCs w:val="24"/>
        </w:rPr>
        <w:t>.</w:t>
      </w:r>
    </w:p>
    <w:p w14:paraId="67975E09" w14:textId="26BFA42D" w:rsidR="006F4294" w:rsidRDefault="006F4294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Tomemos de exemplo um produto que deve determinar se um identificador é válido ou não</w:t>
      </w:r>
      <w:r w:rsidR="004031A4">
        <w:rPr>
          <w:rFonts w:ascii="Arial" w:hAnsi="Arial" w:cs="Arial"/>
          <w:sz w:val="24"/>
          <w:szCs w:val="24"/>
        </w:rPr>
        <w:t>.</w:t>
      </w:r>
    </w:p>
    <w:p w14:paraId="29E5D645" w14:textId="77777777" w:rsidR="00EF66DC" w:rsidRDefault="00A7367F" w:rsidP="00AA492F">
      <w:pPr>
        <w:rPr>
          <w:rFonts w:ascii="Arial" w:hAnsi="Arial" w:cs="Arial"/>
          <w:b/>
          <w:bCs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– Identificar as Classes de Equivalência (baseado nas regras de </w:t>
      </w:r>
    </w:p>
    <w:p w14:paraId="7529174A" w14:textId="77777777" w:rsidR="00053F75" w:rsidRDefault="00A7367F" w:rsidP="00AA49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negócio do produto):</w:t>
      </w:r>
    </w:p>
    <w:p w14:paraId="7E83E2A1" w14:textId="77777777" w:rsidR="00053F75" w:rsidRDefault="006F4294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de entrada de produto deve determinar se um identificador é ou não válido</w:t>
      </w:r>
      <w:r w:rsidR="00053F75">
        <w:rPr>
          <w:rFonts w:ascii="Arial" w:hAnsi="Arial" w:cs="Arial"/>
          <w:sz w:val="24"/>
          <w:szCs w:val="24"/>
        </w:rPr>
        <w:t>:</w:t>
      </w:r>
    </w:p>
    <w:p w14:paraId="1AC44298" w14:textId="77777777" w:rsidR="00053F75" w:rsidRDefault="00053F75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52951330" w14:textId="12DFD9CE" w:rsidR="009054E1" w:rsidRDefault="00053F75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dado de entrada deve</w:t>
      </w:r>
      <w:r w:rsidR="002F048C">
        <w:rPr>
          <w:rFonts w:ascii="Arial" w:hAnsi="Arial" w:cs="Arial"/>
          <w:sz w:val="24"/>
          <w:szCs w:val="24"/>
        </w:rPr>
        <w:t xml:space="preserve"> começar por uma letra e conter, somente, letras e/ou dígitos</w:t>
      </w:r>
      <w:r w:rsidR="004031A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Também, deve ter entre 1 e 6 caracteres.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5D26" w14:paraId="48BC4841" w14:textId="77777777" w:rsidTr="005F5D26">
        <w:tc>
          <w:tcPr>
            <w:tcW w:w="2831" w:type="dxa"/>
          </w:tcPr>
          <w:p w14:paraId="53929896" w14:textId="693B8A19" w:rsidR="005F5D26" w:rsidRPr="0084033A" w:rsidRDefault="005F5D26" w:rsidP="00840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Variáveis de Entrada</w:t>
            </w:r>
          </w:p>
        </w:tc>
        <w:tc>
          <w:tcPr>
            <w:tcW w:w="2831" w:type="dxa"/>
          </w:tcPr>
          <w:p w14:paraId="39F48B35" w14:textId="18AC46F2" w:rsidR="005F5D26" w:rsidRPr="0084033A" w:rsidRDefault="005F5D26" w:rsidP="00840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Classes de Equivalência Válidas</w:t>
            </w:r>
          </w:p>
        </w:tc>
        <w:tc>
          <w:tcPr>
            <w:tcW w:w="2832" w:type="dxa"/>
          </w:tcPr>
          <w:p w14:paraId="758D4C7D" w14:textId="76659863" w:rsidR="005F5D26" w:rsidRPr="0084033A" w:rsidRDefault="005F5D26" w:rsidP="00840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Classes de Equivalência Inválidas</w:t>
            </w:r>
          </w:p>
        </w:tc>
      </w:tr>
      <w:tr w:rsidR="005F5D26" w14:paraId="7B49EA60" w14:textId="77777777" w:rsidTr="005F5D26">
        <w:tc>
          <w:tcPr>
            <w:tcW w:w="2831" w:type="dxa"/>
          </w:tcPr>
          <w:p w14:paraId="7A2CAE5E" w14:textId="78BCC19D" w:rsidR="005F5D26" w:rsidRPr="0084033A" w:rsidRDefault="005F5D26" w:rsidP="00AA49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Comprimento</w:t>
            </w:r>
            <w:r w:rsidR="00097E05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(t)</w:t>
            </w:r>
          </w:p>
        </w:tc>
        <w:tc>
          <w:tcPr>
            <w:tcW w:w="2831" w:type="dxa"/>
          </w:tcPr>
          <w:p w14:paraId="1F2A344D" w14:textId="3E5CF4B2" w:rsidR="005F5D26" w:rsidRDefault="005F5D26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Conter de um a seis dígitos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– 1 &lt;= </w:t>
            </w:r>
            <w:r w:rsidR="00097E05">
              <w:rPr>
                <w:rFonts w:ascii="Arial" w:hAnsi="Arial" w:cs="Arial"/>
                <w:sz w:val="24"/>
                <w:szCs w:val="24"/>
              </w:rPr>
              <w:t>t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&lt;= 6</w:t>
            </w:r>
          </w:p>
        </w:tc>
        <w:tc>
          <w:tcPr>
            <w:tcW w:w="2832" w:type="dxa"/>
          </w:tcPr>
          <w:p w14:paraId="31253408" w14:textId="35F1F599" w:rsidR="005F5D26" w:rsidRDefault="00097E05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&lt; 1 &amp;&amp;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&gt; 6</w:t>
            </w:r>
          </w:p>
        </w:tc>
      </w:tr>
      <w:tr w:rsidR="005F5D26" w14:paraId="21CD9B29" w14:textId="77777777" w:rsidTr="005F5D26">
        <w:tc>
          <w:tcPr>
            <w:tcW w:w="2831" w:type="dxa"/>
          </w:tcPr>
          <w:p w14:paraId="5DB14C0D" w14:textId="1EAFFFB7" w:rsidR="005F5D26" w:rsidRPr="0084033A" w:rsidRDefault="005F5D26" w:rsidP="00AA49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Começar com uma letra</w:t>
            </w:r>
            <w:r w:rsidR="00097E05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(i)</w:t>
            </w:r>
          </w:p>
        </w:tc>
        <w:tc>
          <w:tcPr>
            <w:tcW w:w="2831" w:type="dxa"/>
          </w:tcPr>
          <w:p w14:paraId="75BF6D34" w14:textId="64FD7BC8" w:rsidR="005F5D26" w:rsidRDefault="00730692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com uma letra – Sim</w:t>
            </w:r>
            <w:r w:rsidR="00A77F9C">
              <w:rPr>
                <w:rFonts w:ascii="Arial" w:hAnsi="Arial" w:cs="Arial"/>
                <w:sz w:val="24"/>
                <w:szCs w:val="24"/>
              </w:rPr>
              <w:t>, inicia com letra</w:t>
            </w:r>
          </w:p>
        </w:tc>
        <w:tc>
          <w:tcPr>
            <w:tcW w:w="2832" w:type="dxa"/>
          </w:tcPr>
          <w:p w14:paraId="4BCD65F7" w14:textId="6D34F273" w:rsidR="005F5D26" w:rsidRDefault="00730692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iniciar com letra – Não</w:t>
            </w:r>
            <w:r w:rsidR="00A77F9C">
              <w:rPr>
                <w:rFonts w:ascii="Arial" w:hAnsi="Arial" w:cs="Arial"/>
                <w:sz w:val="24"/>
                <w:szCs w:val="24"/>
              </w:rPr>
              <w:t xml:space="preserve"> inicia com letra</w:t>
            </w:r>
          </w:p>
        </w:tc>
      </w:tr>
      <w:tr w:rsidR="005F5D26" w14:paraId="1413325D" w14:textId="77777777" w:rsidTr="005F5D26">
        <w:tc>
          <w:tcPr>
            <w:tcW w:w="2831" w:type="dxa"/>
          </w:tcPr>
          <w:p w14:paraId="21E4A8F8" w14:textId="6324BB42" w:rsidR="005F5D26" w:rsidRPr="0084033A" w:rsidRDefault="005F5D26" w:rsidP="00AA49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Conter</w:t>
            </w:r>
            <w:r w:rsidR="00491CD1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apenas, </w:t>
            </w: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letras ou </w:t>
            </w:r>
            <w:r w:rsidR="00B13ED7">
              <w:rPr>
                <w:rFonts w:ascii="Arial" w:hAnsi="Arial" w:cs="Arial"/>
                <w:b/>
                <w:bCs/>
                <w:sz w:val="24"/>
                <w:szCs w:val="24"/>
              </w:rPr>
              <w:t>números</w:t>
            </w:r>
            <w:r w:rsidR="00097E05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(c)</w:t>
            </w:r>
          </w:p>
        </w:tc>
        <w:tc>
          <w:tcPr>
            <w:tcW w:w="2831" w:type="dxa"/>
          </w:tcPr>
          <w:p w14:paraId="5C32FB99" w14:textId="2362B7CF" w:rsidR="005F5D26" w:rsidRDefault="00491CD1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Sim, contém, apenas, letras ou dígitos</w:t>
            </w:r>
          </w:p>
        </w:tc>
        <w:tc>
          <w:tcPr>
            <w:tcW w:w="2832" w:type="dxa"/>
          </w:tcPr>
          <w:p w14:paraId="2AEAFDB1" w14:textId="1775C81D" w:rsidR="005F5D26" w:rsidRDefault="00491CD1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  <w:r w:rsidR="006F1406">
              <w:rPr>
                <w:rFonts w:ascii="Arial" w:hAnsi="Arial" w:cs="Arial"/>
                <w:sz w:val="24"/>
                <w:szCs w:val="24"/>
              </w:rPr>
              <w:t xml:space="preserve">, não apresenta, apenas, letras ou </w:t>
            </w:r>
            <w:r w:rsidR="00497338">
              <w:rPr>
                <w:rFonts w:ascii="Arial" w:hAnsi="Arial" w:cs="Arial"/>
                <w:sz w:val="24"/>
                <w:szCs w:val="24"/>
              </w:rPr>
              <w:t>números</w:t>
            </w:r>
            <w:r w:rsidR="006F1406">
              <w:rPr>
                <w:rFonts w:ascii="Arial" w:hAnsi="Arial" w:cs="Arial"/>
                <w:sz w:val="24"/>
                <w:szCs w:val="24"/>
              </w:rPr>
              <w:t>. Possui caracteres não permitidos.</w:t>
            </w:r>
          </w:p>
        </w:tc>
      </w:tr>
    </w:tbl>
    <w:p w14:paraId="77118180" w14:textId="77777777" w:rsidR="006F4294" w:rsidRDefault="006F4294" w:rsidP="00730692">
      <w:pPr>
        <w:rPr>
          <w:rFonts w:ascii="Arial" w:hAnsi="Arial" w:cs="Arial"/>
          <w:sz w:val="24"/>
          <w:szCs w:val="24"/>
        </w:rPr>
      </w:pPr>
    </w:p>
    <w:p w14:paraId="2BC930DF" w14:textId="31CC5C70" w:rsidR="00730692" w:rsidRDefault="002A3285" w:rsidP="00730692">
      <w:pPr>
        <w:rPr>
          <w:rFonts w:ascii="Arial" w:hAnsi="Arial" w:cs="Arial"/>
          <w:b/>
          <w:bCs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 Definir Casos de Teste considerando as Recomendações e Limites para o critério: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4033A" w14:paraId="7C131D11" w14:textId="77777777" w:rsidTr="0085113C">
        <w:tc>
          <w:tcPr>
            <w:tcW w:w="6370" w:type="dxa"/>
            <w:gridSpan w:val="3"/>
          </w:tcPr>
          <w:p w14:paraId="673F40FA" w14:textId="5A08624B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124" w:type="dxa"/>
            <w:vMerge w:val="restart"/>
          </w:tcPr>
          <w:p w14:paraId="00ACB11C" w14:textId="0EAFC0AD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0C81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84033A" w14:paraId="7004BADA" w14:textId="77777777" w:rsidTr="0084033A">
        <w:tc>
          <w:tcPr>
            <w:tcW w:w="2123" w:type="dxa"/>
          </w:tcPr>
          <w:p w14:paraId="044F013A" w14:textId="38DA2FFC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123" w:type="dxa"/>
          </w:tcPr>
          <w:p w14:paraId="65EECA3C" w14:textId="71B015C5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124" w:type="dxa"/>
          </w:tcPr>
          <w:p w14:paraId="14D15A88" w14:textId="6FE74310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24" w:type="dxa"/>
            <w:vMerge/>
          </w:tcPr>
          <w:p w14:paraId="3E8ADB1D" w14:textId="77777777" w:rsidR="0084033A" w:rsidRDefault="0084033A" w:rsidP="007306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33A" w14:paraId="494BBA4F" w14:textId="77777777" w:rsidTr="0084033A">
        <w:tc>
          <w:tcPr>
            <w:tcW w:w="2123" w:type="dxa"/>
          </w:tcPr>
          <w:p w14:paraId="00813CCD" w14:textId="1263616F" w:rsidR="0084033A" w:rsidRDefault="00B13ED7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3" w:type="dxa"/>
          </w:tcPr>
          <w:p w14:paraId="790644D5" w14:textId="01F64683" w:rsidR="0084033A" w:rsidRDefault="00B7151D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008BA0B6" w14:textId="5920CD38" w:rsidR="0084033A" w:rsidRDefault="00B7151D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07A11267" w14:textId="77A1C1A9" w:rsidR="0084033A" w:rsidRDefault="00B13ED7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84033A" w14:paraId="4EA14481" w14:textId="77777777" w:rsidTr="0084033A">
        <w:tc>
          <w:tcPr>
            <w:tcW w:w="2123" w:type="dxa"/>
          </w:tcPr>
          <w:p w14:paraId="79373336" w14:textId="7999A44B" w:rsidR="0084033A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55B4A44A" w14:textId="67A7BD40" w:rsidR="0084033A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0E0F8686" w14:textId="1E0AF7C4" w:rsidR="0084033A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04A87BC7" w14:textId="625E5832" w:rsidR="007E6E98" w:rsidRDefault="007E6E98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35618" w14:paraId="32573053" w14:textId="77777777" w:rsidTr="0084033A">
        <w:tc>
          <w:tcPr>
            <w:tcW w:w="2123" w:type="dxa"/>
          </w:tcPr>
          <w:p w14:paraId="75902CC8" w14:textId="283D3278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</w:t>
            </w:r>
          </w:p>
        </w:tc>
        <w:tc>
          <w:tcPr>
            <w:tcW w:w="2123" w:type="dxa"/>
          </w:tcPr>
          <w:p w14:paraId="3712E067" w14:textId="79E4A147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</w:t>
            </w:r>
          </w:p>
        </w:tc>
        <w:tc>
          <w:tcPr>
            <w:tcW w:w="2124" w:type="dxa"/>
          </w:tcPr>
          <w:p w14:paraId="6A37B10C" w14:textId="1BBF6359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</w:t>
            </w:r>
          </w:p>
        </w:tc>
        <w:tc>
          <w:tcPr>
            <w:tcW w:w="2124" w:type="dxa"/>
          </w:tcPr>
          <w:p w14:paraId="75900D32" w14:textId="65E07BD6" w:rsidR="00035618" w:rsidRDefault="00035618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35618" w14:paraId="73503702" w14:textId="77777777" w:rsidTr="0084033A">
        <w:tc>
          <w:tcPr>
            <w:tcW w:w="2123" w:type="dxa"/>
          </w:tcPr>
          <w:p w14:paraId="2ADF56D2" w14:textId="5AEB1057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3" w:type="dxa"/>
          </w:tcPr>
          <w:p w14:paraId="55127980" w14:textId="1C8F967D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4" w:type="dxa"/>
          </w:tcPr>
          <w:p w14:paraId="40CBFAB8" w14:textId="495173E0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4" w:type="dxa"/>
          </w:tcPr>
          <w:p w14:paraId="6C5E28CD" w14:textId="198D6293" w:rsidR="00035618" w:rsidRDefault="00035618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35618" w14:paraId="27A3B5FE" w14:textId="77777777" w:rsidTr="0084033A">
        <w:tc>
          <w:tcPr>
            <w:tcW w:w="2123" w:type="dxa"/>
          </w:tcPr>
          <w:p w14:paraId="228AED89" w14:textId="28C60E90" w:rsidR="00035618" w:rsidRDefault="004D7666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3" w:type="dxa"/>
          </w:tcPr>
          <w:p w14:paraId="46C75332" w14:textId="4A3EBA4C" w:rsidR="00035618" w:rsidRDefault="004D7666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67CF885E" w14:textId="25100608" w:rsidR="00035618" w:rsidRDefault="004D7666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A#$12</w:t>
            </w:r>
          </w:p>
        </w:tc>
        <w:tc>
          <w:tcPr>
            <w:tcW w:w="2124" w:type="dxa"/>
          </w:tcPr>
          <w:p w14:paraId="1FAF6ADF" w14:textId="6CD5E346" w:rsidR="00035618" w:rsidRDefault="004D7666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4D7666" w14:paraId="6B41B7EA" w14:textId="77777777" w:rsidTr="0084033A">
        <w:tc>
          <w:tcPr>
            <w:tcW w:w="2123" w:type="dxa"/>
          </w:tcPr>
          <w:p w14:paraId="33736BD2" w14:textId="53F21D31" w:rsidR="004D7666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3" w:type="dxa"/>
          </w:tcPr>
          <w:p w14:paraId="6DFC1EEB" w14:textId="0A56C7AE" w:rsidR="004D7666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7C3B1015" w14:textId="753F1D22" w:rsidR="004D7666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00E4F96F" w14:textId="7F6A8621" w:rsidR="004D7666" w:rsidRDefault="00C726DB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726DB" w14:paraId="29E11CDE" w14:textId="77777777" w:rsidTr="0084033A">
        <w:tc>
          <w:tcPr>
            <w:tcW w:w="2123" w:type="dxa"/>
          </w:tcPr>
          <w:p w14:paraId="612FBAE3" w14:textId="5FFE306C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3" w:type="dxa"/>
          </w:tcPr>
          <w:p w14:paraId="7F21704D" w14:textId="19437601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40DE3202" w14:textId="5B962AD8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27315045" w14:textId="26D1582E" w:rsidR="00C726DB" w:rsidRDefault="00C726DB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726DB" w14:paraId="41161DEF" w14:textId="77777777" w:rsidTr="0084033A">
        <w:tc>
          <w:tcPr>
            <w:tcW w:w="2123" w:type="dxa"/>
          </w:tcPr>
          <w:p w14:paraId="77E8E533" w14:textId="77777777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CADDF3F" w14:textId="77777777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55A4854" w14:textId="77777777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395B38E" w14:textId="77777777" w:rsidR="00C726DB" w:rsidRDefault="00C726DB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70ECCD" w14:textId="77777777" w:rsidR="002A3285" w:rsidRPr="002A3285" w:rsidRDefault="002A3285" w:rsidP="00730692">
      <w:pPr>
        <w:rPr>
          <w:rFonts w:ascii="Arial" w:hAnsi="Arial" w:cs="Arial"/>
          <w:sz w:val="24"/>
          <w:szCs w:val="24"/>
        </w:rPr>
      </w:pPr>
    </w:p>
    <w:sectPr w:rsidR="002A3285" w:rsidRPr="002A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35618"/>
    <w:rsid w:val="000539E3"/>
    <w:rsid w:val="00053F75"/>
    <w:rsid w:val="00097E05"/>
    <w:rsid w:val="000A4941"/>
    <w:rsid w:val="000B0017"/>
    <w:rsid w:val="002767CB"/>
    <w:rsid w:val="00294D28"/>
    <w:rsid w:val="002A3285"/>
    <w:rsid w:val="002B4140"/>
    <w:rsid w:val="002F048C"/>
    <w:rsid w:val="00311618"/>
    <w:rsid w:val="003266B8"/>
    <w:rsid w:val="003C5B5E"/>
    <w:rsid w:val="004031A4"/>
    <w:rsid w:val="00427017"/>
    <w:rsid w:val="0049164B"/>
    <w:rsid w:val="00491CD1"/>
    <w:rsid w:val="00497338"/>
    <w:rsid w:val="004B4DAB"/>
    <w:rsid w:val="004B6622"/>
    <w:rsid w:val="004B71F8"/>
    <w:rsid w:val="004D7666"/>
    <w:rsid w:val="004D77E3"/>
    <w:rsid w:val="005F5D26"/>
    <w:rsid w:val="006E1676"/>
    <w:rsid w:val="006F1406"/>
    <w:rsid w:val="006F4294"/>
    <w:rsid w:val="00730692"/>
    <w:rsid w:val="00740CE0"/>
    <w:rsid w:val="00741568"/>
    <w:rsid w:val="007E5895"/>
    <w:rsid w:val="007E6E98"/>
    <w:rsid w:val="00833A29"/>
    <w:rsid w:val="0084033A"/>
    <w:rsid w:val="008B180A"/>
    <w:rsid w:val="009054E1"/>
    <w:rsid w:val="00964FA7"/>
    <w:rsid w:val="00A37CE8"/>
    <w:rsid w:val="00A51634"/>
    <w:rsid w:val="00A542CA"/>
    <w:rsid w:val="00A7367F"/>
    <w:rsid w:val="00A77F9C"/>
    <w:rsid w:val="00A94135"/>
    <w:rsid w:val="00AA492F"/>
    <w:rsid w:val="00AF085E"/>
    <w:rsid w:val="00B13ED7"/>
    <w:rsid w:val="00B7151D"/>
    <w:rsid w:val="00BA6956"/>
    <w:rsid w:val="00BB5EC7"/>
    <w:rsid w:val="00C20C81"/>
    <w:rsid w:val="00C726DB"/>
    <w:rsid w:val="00C86613"/>
    <w:rsid w:val="00CD05EA"/>
    <w:rsid w:val="00CE5951"/>
    <w:rsid w:val="00DC6C98"/>
    <w:rsid w:val="00DD50D1"/>
    <w:rsid w:val="00E05C90"/>
    <w:rsid w:val="00E34B5F"/>
    <w:rsid w:val="00E567DB"/>
    <w:rsid w:val="00EF66DC"/>
    <w:rsid w:val="00F431BC"/>
    <w:rsid w:val="00F45521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54</cp:revision>
  <dcterms:created xsi:type="dcterms:W3CDTF">2023-04-19T21:23:00Z</dcterms:created>
  <dcterms:modified xsi:type="dcterms:W3CDTF">2023-05-03T23:04:00Z</dcterms:modified>
</cp:coreProperties>
</file>