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EVIDENCE / INVESTMENT RESEARCH</w:t>
      </w:r>
    </w:p>
    <w:p>
      <w:pPr>
        <w:pStyle w:val="Title"/>
      </w:pPr>
      <w:r>
        <w:t>策略研究报告</w:t>
      </w:r>
    </w:p>
    <w:p>
      <w:pPr>
        <w:pStyle w:val="Heading2"/>
      </w:pPr>
      <w:r>
        <w:t>黄金 ETF 代理（GLD）与比特币（BTC-USD）近五年避险与抗通胀表现比较：60/40 组合、季度再平衡</w:t>
      </w:r>
    </w:p>
    <w:p>
      <w:pPr>
        <w:pStyle w:val="Subtitle"/>
      </w:pPr>
      <w:r>
        <w:t>研究区间 2021-09-28 至 2026-09-29    生成 2026-09-29</w:t>
        <w:br/>
        <w:t>研究版本 3302715305fc4dac    美元计价</w:t>
      </w:r>
    </w:p>
    <w:p>
      <w:pPr>
        <w:pStyle w:val="Heading1"/>
      </w:pPr>
      <w:r>
        <w:t>研究结果</w:t>
      </w:r>
    </w:p>
    <w:p>
      <w:r>
        <w:t>需求覆盖检查通过。</w:t>
      </w:r>
    </w:p>
    <w:p>
      <w:r>
        <w:t>GLD：共同月末区间 2021-09-30 至 2026-08-31，累计收益 +148.7%，月末估值最大回撤 -23.8%。</w:t>
      </w:r>
    </w:p>
    <w:p>
      <w:r>
        <w:t>BTC-USD：共同月末区间 2021-09-30 至 2026-08-31，累计收益 +86.9%，月末估值最大回撤 -72.9%。</w:t>
      </w:r>
    </w:p>
    <w:p>
      <w:r>
        <w:drawing>
          <wp:inline xmlns:a="http://schemas.openxmlformats.org/drawingml/2006/main" xmlns:pic="http://schemas.openxmlformats.org/drawingml/2006/picture">
            <wp:extent cx="6035040" cy="25864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5864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 共同月度净值（初始为 100）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21"/>
        <w:gridCol w:w="1921"/>
        <w:gridCol w:w="1921"/>
        <w:gridCol w:w="1921"/>
        <w:gridCol w:w="1921"/>
      </w:tblGrid>
      <w:tr>
        <w:trPr>
          <w:tblHeader/>
        </w:trPr>
        <w:tc>
          <w:tcPr>
            <w:tcW w:type="dxa" w:w="19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3C5147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 w:line="288" w:lineRule="auto"/>
            </w:pPr>
            <w:r>
              <w:rPr>
                <w:b/>
                <w:color w:val="FFFFFF"/>
                <w:sz w:val="17"/>
              </w:rPr>
              <w:t>资产</w:t>
            </w:r>
          </w:p>
        </w:tc>
        <w:tc>
          <w:tcPr>
            <w:tcW w:type="dxa" w:w="19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3C5147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 w:line="288" w:lineRule="auto"/>
            </w:pPr>
            <w:r>
              <w:rPr>
                <w:b/>
                <w:color w:val="FFFFFF"/>
                <w:sz w:val="17"/>
              </w:rPr>
              <w:t>累计收益</w:t>
            </w:r>
          </w:p>
        </w:tc>
        <w:tc>
          <w:tcPr>
            <w:tcW w:type="dxa" w:w="19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3C5147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 w:line="288" w:lineRule="auto"/>
            </w:pPr>
            <w:r>
              <w:rPr>
                <w:b/>
                <w:color w:val="FFFFFF"/>
                <w:sz w:val="17"/>
              </w:rPr>
              <w:t>年化收益</w:t>
            </w:r>
          </w:p>
        </w:tc>
        <w:tc>
          <w:tcPr>
            <w:tcW w:type="dxa" w:w="19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3C5147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 w:line="288" w:lineRule="auto"/>
            </w:pPr>
            <w:r>
              <w:rPr>
                <w:b/>
                <w:color w:val="FFFFFF"/>
                <w:sz w:val="17"/>
              </w:rPr>
              <w:t>年化波动</w:t>
            </w:r>
          </w:p>
        </w:tc>
        <w:tc>
          <w:tcPr>
            <w:tcW w:type="dxa" w:w="19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3C5147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 w:line="288" w:lineRule="auto"/>
            </w:pPr>
            <w:r>
              <w:rPr>
                <w:b/>
                <w:color w:val="FFFFFF"/>
                <w:sz w:val="17"/>
              </w:rPr>
              <w:t>最大回撤</w:t>
            </w:r>
          </w:p>
        </w:tc>
      </w:tr>
      <w:tr>
        <w:tc>
          <w:tcPr>
            <w:tcW w:type="dxa" w:w="19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 w:line="288" w:lineRule="auto"/>
            </w:pPr>
            <w:r>
              <w:rPr>
                <w:sz w:val="17"/>
              </w:rPr>
              <w:t>GLD</w:t>
            </w:r>
          </w:p>
        </w:tc>
        <w:tc>
          <w:tcPr>
            <w:tcW w:type="dxa" w:w="19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 w:line="288" w:lineRule="auto"/>
            </w:pPr>
            <w:r>
              <w:rPr>
                <w:sz w:val="17"/>
              </w:rPr>
              <w:t>+148.7%</w:t>
            </w:r>
          </w:p>
        </w:tc>
        <w:tc>
          <w:tcPr>
            <w:tcW w:type="dxa" w:w="19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 w:line="288" w:lineRule="auto"/>
            </w:pPr>
            <w:r>
              <w:rPr>
                <w:sz w:val="17"/>
              </w:rPr>
              <w:t>+20.4%</w:t>
            </w:r>
          </w:p>
        </w:tc>
        <w:tc>
          <w:tcPr>
            <w:tcW w:type="dxa" w:w="19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 w:line="288" w:lineRule="auto"/>
            </w:pPr>
            <w:r>
              <w:rPr>
                <w:sz w:val="17"/>
              </w:rPr>
              <w:t>+16.9%</w:t>
            </w:r>
          </w:p>
        </w:tc>
        <w:tc>
          <w:tcPr>
            <w:tcW w:type="dxa" w:w="19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 w:line="288" w:lineRule="auto"/>
            </w:pPr>
            <w:r>
              <w:rPr>
                <w:sz w:val="17"/>
              </w:rPr>
              <w:t>-23.8%</w:t>
            </w:r>
          </w:p>
        </w:tc>
      </w:tr>
      <w:tr>
        <w:tc>
          <w:tcPr>
            <w:tcW w:type="dxa" w:w="19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1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 w:line="288" w:lineRule="auto"/>
            </w:pPr>
            <w:r>
              <w:rPr>
                <w:sz w:val="17"/>
              </w:rPr>
              <w:t>BTC-USD</w:t>
            </w:r>
          </w:p>
        </w:tc>
        <w:tc>
          <w:tcPr>
            <w:tcW w:type="dxa" w:w="19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1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 w:line="288" w:lineRule="auto"/>
            </w:pPr>
            <w:r>
              <w:rPr>
                <w:sz w:val="17"/>
              </w:rPr>
              <w:t>+86.9%</w:t>
            </w:r>
          </w:p>
        </w:tc>
        <w:tc>
          <w:tcPr>
            <w:tcW w:type="dxa" w:w="19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1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 w:line="288" w:lineRule="auto"/>
            </w:pPr>
            <w:r>
              <w:rPr>
                <w:sz w:val="17"/>
              </w:rPr>
              <w:t>+13.6%</w:t>
            </w:r>
          </w:p>
        </w:tc>
        <w:tc>
          <w:tcPr>
            <w:tcW w:type="dxa" w:w="19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1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 w:line="288" w:lineRule="auto"/>
            </w:pPr>
            <w:r>
              <w:rPr>
                <w:sz w:val="17"/>
              </w:rPr>
              <w:t>+57.1%</w:t>
            </w:r>
          </w:p>
        </w:tc>
        <w:tc>
          <w:tcPr>
            <w:tcW w:type="dxa" w:w="19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1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 w:line="288" w:lineRule="auto"/>
            </w:pPr>
            <w:r>
              <w:rPr>
                <w:sz w:val="17"/>
              </w:rPr>
              <w:t>-72.9%</w:t>
            </w:r>
          </w:p>
        </w:tc>
      </w:tr>
    </w:tbl>
    <w:p>
      <w:pPr>
        <w:spacing w:after="0"/>
      </w:pPr>
    </w:p>
    <w:p>
      <w:r>
        <w:t>比较表采用共同月度观测。数据源与完整日线保存在 Excel 底稿，图表与数字来自同一研究快照。</w:t>
      </w:r>
    </w:p>
    <w:p>
      <w:pPr>
        <w:pStyle w:val="Heading1"/>
        <w:pageBreakBefore/>
      </w:pPr>
      <w:r>
        <w:t>决策框架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1944"/>
        <w:gridCol w:w="2520"/>
        <w:gridCol w:w="4104"/>
      </w:tblGrid>
      <w:tr>
        <w:trPr>
          <w:tblHeader/>
        </w:trPr>
        <w:tc>
          <w:tcPr>
            <w:tcW w:type="dxa" w:w="24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3C5147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 w:line="288" w:lineRule="auto"/>
            </w:pPr>
            <w:r>
              <w:rPr>
                <w:b/>
                <w:color w:val="FFFFFF"/>
                <w:sz w:val="17"/>
              </w:rPr>
              <w:t>目标</w:t>
            </w:r>
          </w:p>
        </w:tc>
        <w:tc>
          <w:tcPr>
            <w:tcW w:type="dxa" w:w="24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3C5147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 w:line="288" w:lineRule="auto"/>
            </w:pPr>
            <w:r>
              <w:rPr>
                <w:b/>
                <w:color w:val="FFFFFF"/>
                <w:sz w:val="17"/>
              </w:rPr>
              <w:t>待回答问题</w:t>
            </w:r>
          </w:p>
        </w:tc>
        <w:tc>
          <w:tcPr>
            <w:tcW w:type="dxa" w:w="24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3C5147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 w:line="288" w:lineRule="auto"/>
            </w:pPr>
            <w:r>
              <w:rPr>
                <w:b/>
                <w:color w:val="FFFFFF"/>
                <w:sz w:val="17"/>
              </w:rPr>
              <w:t>检验指标</w:t>
            </w:r>
          </w:p>
        </w:tc>
        <w:tc>
          <w:tcPr>
            <w:tcW w:type="dxa" w:w="24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3C5147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 w:line="288" w:lineRule="auto"/>
            </w:pPr>
            <w:r>
              <w:rPr>
                <w:b/>
                <w:color w:val="FFFFFF"/>
                <w:sz w:val="17"/>
              </w:rPr>
              <w:t>适用条件</w:t>
            </w:r>
          </w:p>
        </w:tc>
      </w:tr>
      <w:t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 w:line="288" w:lineRule="auto"/>
            </w:pPr>
            <w:r>
              <w:rPr>
                <w:sz w:val="17"/>
              </w:rPr>
              <w:t>避险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 w:line="288" w:lineRule="auto"/>
            </w:pPr>
            <w:r>
              <w:rPr>
                <w:sz w:val="17"/>
              </w:rPr>
              <w:t>基准下跌期间是否保值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 w:line="288" w:lineRule="auto"/>
            </w:pPr>
            <w:r>
              <w:rPr>
                <w:sz w:val="17"/>
              </w:rPr>
              <w:t>压力月份收益、最大回撤、滚动相关性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 w:line="288" w:lineRule="auto"/>
            </w:pPr>
            <w:r>
              <w:rPr>
                <w:sz w:val="17"/>
              </w:rPr>
              <w:t>仅在已检验情景成立时接受，避免用长期涨幅代替危机表现</w:t>
            </w:r>
          </w:p>
        </w:tc>
      </w:tr>
      <w:t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1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 w:line="288" w:lineRule="auto"/>
            </w:pPr>
            <w:r>
              <w:rPr>
                <w:sz w:val="17"/>
              </w:rPr>
              <w:t>抗通胀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1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 w:line="288" w:lineRule="auto"/>
            </w:pPr>
            <w:r>
              <w:rPr>
                <w:sz w:val="17"/>
              </w:rPr>
              <w:t>能否维持实际购买力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1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 w:line="288" w:lineRule="auto"/>
            </w:pPr>
            <w:r>
              <w:rPr>
                <w:sz w:val="17"/>
              </w:rPr>
              <w:t>CPI 调整净值、高通胀月份收益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1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 w:line="288" w:lineRule="auto"/>
            </w:pPr>
            <w:r>
              <w:rPr>
                <w:sz w:val="17"/>
              </w:rPr>
              <w:t>区分多年购买力与短期 CPI 波动，月度相关性不代表因果</w:t>
            </w:r>
          </w:p>
        </w:tc>
      </w:tr>
      <w:t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 w:line="288" w:lineRule="auto"/>
            </w:pPr>
            <w:r>
              <w:rPr>
                <w:sz w:val="17"/>
              </w:rPr>
              <w:t>资产配置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 w:line="288" w:lineRule="auto"/>
            </w:pPr>
            <w:r>
              <w:rPr>
                <w:sz w:val="17"/>
              </w:rPr>
              <w:t>分散化是否改善风险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 w:line="288" w:lineRule="auto"/>
            </w:pPr>
            <w:r>
              <w:rPr>
                <w:sz w:val="17"/>
              </w:rPr>
              <w:t>组合回撤、波动、交易成本与漂移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 w:line="288" w:lineRule="auto"/>
            </w:pPr>
            <w:r>
              <w:rPr>
                <w:sz w:val="17"/>
              </w:rPr>
              <w:t>先设权重和再平衡规则，再检验结果；不在全样本寻找最优权重</w:t>
            </w:r>
          </w:p>
        </w:tc>
      </w:tr>
      <w:t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1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 w:line="288" w:lineRule="auto"/>
            </w:pPr>
            <w:r>
              <w:rPr>
                <w:sz w:val="17"/>
              </w:rPr>
              <w:t>执行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1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 w:line="288" w:lineRule="auto"/>
            </w:pPr>
            <w:r>
              <w:rPr>
                <w:sz w:val="17"/>
              </w:rPr>
              <w:t>能否按假设成交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1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 w:line="288" w:lineRule="auto"/>
            </w:pPr>
            <w:r>
              <w:rPr>
                <w:sz w:val="17"/>
              </w:rPr>
              <w:t>实际时间戳、下一开盘成交、现金台账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1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 w:line="288" w:lineRule="auto"/>
            </w:pPr>
            <w:r>
              <w:rPr>
                <w:sz w:val="17"/>
              </w:rPr>
              <w:t>识别交易日差异，保留滑点、流动性与跟踪误差的敏感性</w:t>
            </w:r>
          </w:p>
        </w:tc>
      </w:tr>
    </w:tbl>
    <w:p>
      <w:pPr>
        <w:spacing w:after="0"/>
      </w:pPr>
    </w:p>
    <w:p>
      <w:pPr>
        <w:pStyle w:val="Heading2"/>
      </w:pPr>
      <w:r>
        <w:t>压力期与通胀</w:t>
      </w:r>
    </w:p>
    <w:p>
      <w:r>
        <w:t>在事后选取的 6 个基准最差月份中，GLD 有 2 个月收益为正。该结果衡量特定压力样本，不能推广为所有危机中有效。</w:t>
      </w:r>
    </w:p>
    <w:p>
      <w:r>
        <w:t>在事后选取的 6 个基准最差月份中，BTC-USD 有 1 个月收益为正。该结果衡量特定压力样本，不能推广为所有危机中有效。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21"/>
        <w:gridCol w:w="1921"/>
        <w:gridCol w:w="1921"/>
        <w:gridCol w:w="1921"/>
        <w:gridCol w:w="1921"/>
      </w:tblGrid>
      <w:tr>
        <w:trPr>
          <w:tblHeader/>
        </w:trPr>
        <w:tc>
          <w:tcPr>
            <w:tcW w:type="dxa" w:w="19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3C5147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 w:line="288" w:lineRule="auto"/>
            </w:pPr>
            <w:r>
              <w:rPr>
                <w:b/>
                <w:color w:val="FFFFFF"/>
                <w:sz w:val="17"/>
              </w:rPr>
              <w:t>资产</w:t>
            </w:r>
          </w:p>
        </w:tc>
        <w:tc>
          <w:tcPr>
            <w:tcW w:type="dxa" w:w="19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3C5147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 w:line="288" w:lineRule="auto"/>
            </w:pPr>
            <w:r>
              <w:rPr>
                <w:b/>
                <w:color w:val="FFFFFF"/>
                <w:sz w:val="17"/>
              </w:rPr>
              <w:t>CPI 同比 ≥3% 月数</w:t>
            </w:r>
          </w:p>
        </w:tc>
        <w:tc>
          <w:tcPr>
            <w:tcW w:type="dxa" w:w="19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3C5147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 w:line="288" w:lineRule="auto"/>
            </w:pPr>
            <w:r>
              <w:rPr>
                <w:b/>
                <w:color w:val="FFFFFF"/>
                <w:sz w:val="17"/>
              </w:rPr>
              <w:t>该组月均收益</w:t>
            </w:r>
          </w:p>
        </w:tc>
        <w:tc>
          <w:tcPr>
            <w:tcW w:type="dxa" w:w="19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3C5147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 w:line="288" w:lineRule="auto"/>
            </w:pPr>
            <w:r>
              <w:rPr>
                <w:b/>
                <w:color w:val="FFFFFF"/>
                <w:sz w:val="17"/>
              </w:rPr>
              <w:t>CPI 同比 &lt;3% 月数</w:t>
            </w:r>
          </w:p>
        </w:tc>
        <w:tc>
          <w:tcPr>
            <w:tcW w:type="dxa" w:w="19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3C5147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 w:line="288" w:lineRule="auto"/>
            </w:pPr>
            <w:r>
              <w:rPr>
                <w:b/>
                <w:color w:val="FFFFFF"/>
                <w:sz w:val="17"/>
              </w:rPr>
              <w:t>该组月均收益</w:t>
            </w:r>
          </w:p>
        </w:tc>
      </w:tr>
      <w:tr>
        <w:tc>
          <w:tcPr>
            <w:tcW w:type="dxa" w:w="19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 w:line="288" w:lineRule="auto"/>
            </w:pPr>
            <w:r>
              <w:rPr>
                <w:sz w:val="17"/>
              </w:rPr>
              <w:t>GLD</w:t>
            </w:r>
          </w:p>
        </w:tc>
        <w:tc>
          <w:tcPr>
            <w:tcW w:type="dxa" w:w="19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 w:line="288" w:lineRule="auto"/>
            </w:pPr>
            <w:r>
              <w:rPr>
                <w:sz w:val="17"/>
              </w:rPr>
              <w:t>39</w:t>
            </w:r>
          </w:p>
        </w:tc>
        <w:tc>
          <w:tcPr>
            <w:tcW w:type="dxa" w:w="19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 w:line="288" w:lineRule="auto"/>
            </w:pPr>
            <w:r>
              <w:rPr>
                <w:sz w:val="17"/>
              </w:rPr>
              <w:t>+0.9%</w:t>
            </w:r>
          </w:p>
        </w:tc>
        <w:tc>
          <w:tcPr>
            <w:tcW w:type="dxa" w:w="19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 w:line="288" w:lineRule="auto"/>
            </w:pPr>
            <w:r>
              <w:rPr>
                <w:sz w:val="17"/>
              </w:rPr>
              <w:t>19</w:t>
            </w:r>
          </w:p>
        </w:tc>
        <w:tc>
          <w:tcPr>
            <w:tcW w:type="dxa" w:w="19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 w:line="288" w:lineRule="auto"/>
            </w:pPr>
            <w:r>
              <w:rPr>
                <w:sz w:val="17"/>
              </w:rPr>
              <w:t>+3.2%</w:t>
            </w:r>
          </w:p>
        </w:tc>
      </w:tr>
      <w:tr>
        <w:tc>
          <w:tcPr>
            <w:tcW w:type="dxa" w:w="19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1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 w:line="288" w:lineRule="auto"/>
            </w:pPr>
            <w:r>
              <w:rPr>
                <w:sz w:val="17"/>
              </w:rPr>
              <w:t>BTC-USD</w:t>
            </w:r>
          </w:p>
        </w:tc>
        <w:tc>
          <w:tcPr>
            <w:tcW w:type="dxa" w:w="19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1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 w:line="288" w:lineRule="auto"/>
            </w:pPr>
            <w:r>
              <w:rPr>
                <w:sz w:val="17"/>
              </w:rPr>
              <w:t>39</w:t>
            </w:r>
          </w:p>
        </w:tc>
        <w:tc>
          <w:tcPr>
            <w:tcW w:type="dxa" w:w="19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1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 w:line="288" w:lineRule="auto"/>
            </w:pPr>
            <w:r>
              <w:rPr>
                <w:sz w:val="17"/>
              </w:rPr>
              <w:t>+3.3%</w:t>
            </w:r>
          </w:p>
        </w:tc>
        <w:tc>
          <w:tcPr>
            <w:tcW w:type="dxa" w:w="19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1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 w:line="288" w:lineRule="auto"/>
            </w:pPr>
            <w:r>
              <w:rPr>
                <w:sz w:val="17"/>
              </w:rPr>
              <w:t>19</w:t>
            </w:r>
          </w:p>
        </w:tc>
        <w:tc>
          <w:tcPr>
            <w:tcW w:type="dxa" w:w="19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1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 w:line="288" w:lineRule="auto"/>
            </w:pPr>
            <w:r>
              <w:rPr>
                <w:sz w:val="17"/>
              </w:rPr>
              <w:t>+0.8%</w:t>
            </w:r>
          </w:p>
        </w:tc>
      </w:tr>
    </w:tbl>
    <w:p>
      <w:pPr>
        <w:spacing w:after="0"/>
      </w:pPr>
    </w:p>
    <w:p>
      <w:pPr>
        <w:pStyle w:val="Heading2"/>
      </w:pPr>
      <w:r>
        <w:t>黄金（GLD ETF 代理）</w:t>
      </w:r>
    </w:p>
    <w:p>
      <w:r>
        <w:t>GLD（SPDR Gold Shares）由实物黄金支持，目标是反映扣除信托费用后的金价表现。它于 2004 年上市，在 NYSE Arca 以美元交易，参考 LBMA Gold Price PM。采用 GLD 是因为其黄金敞口明确、交易历史较长，并具有可复核的美元行情，适合构建可投资代理的比较与回测。</w:t>
      </w:r>
    </w:p>
    <w:p>
      <w:r>
        <w:t>ETF 价格与现货金价存在费用、跟踪及交易时段差异。官方披露费用率为 0.40%（2026-09-28 核验）；历史价格已体现基金费用，回测只另计指定交易成本，避免重复扣费。</w:t>
      </w:r>
    </w:p>
    <w:p>
      <w:hyperlink r:id="rId10">
        <w:r>
          <w:rPr>
            <w:color w:val="47765C"/>
            <w:sz w:val="18"/>
          </w:rPr>
          <w:t>产品定义、费用与基准：GLD 官方资料</w:t>
        </w:r>
      </w:hyperlink>
    </w:p>
    <w:p>
      <w:pPr>
        <w:pStyle w:val="Heading1"/>
        <w:pageBreakBefore/>
      </w:pPr>
      <w:r>
        <w:t>方法与配置检验</w:t>
      </w:r>
    </w:p>
    <w:p>
      <w:r>
        <w:t>初始资金 $100,000，权重 GLD 60% / BTC-USD 40%，交易成本 20 bps，再平衡间隔 3 个月（0 为持有）。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02"/>
        <w:gridCol w:w="3202"/>
        <w:gridCol w:w="3202"/>
      </w:tblGrid>
      <w:tr>
        <w:trPr>
          <w:tblHeader/>
        </w:trPr>
        <w:tc>
          <w:tcPr>
            <w:tcW w:type="dxa" w:w="32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3C5147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 w:line="288" w:lineRule="auto"/>
            </w:pPr>
            <w:r>
              <w:rPr>
                <w:b/>
                <w:color w:val="FFFFFF"/>
                <w:sz w:val="17"/>
              </w:rPr>
              <w:t>口径</w:t>
            </w:r>
          </w:p>
        </w:tc>
        <w:tc>
          <w:tcPr>
            <w:tcW w:type="dxa" w:w="32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3C5147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 w:line="288" w:lineRule="auto"/>
            </w:pPr>
            <w:r>
              <w:rPr>
                <w:b/>
                <w:color w:val="FFFFFF"/>
                <w:sz w:val="17"/>
              </w:rPr>
              <w:t>累计收益</w:t>
            </w:r>
          </w:p>
        </w:tc>
        <w:tc>
          <w:tcPr>
            <w:tcW w:type="dxa" w:w="32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3C5147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 w:line="288" w:lineRule="auto"/>
            </w:pPr>
            <w:r>
              <w:rPr>
                <w:b/>
                <w:color w:val="FFFFFF"/>
                <w:sz w:val="17"/>
              </w:rPr>
              <w:t>最大回撤</w:t>
            </w:r>
          </w:p>
        </w:tc>
      </w:tr>
      <w:tr>
        <w:tc>
          <w:tcPr>
            <w:tcW w:type="dxa" w:w="32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 w:line="288" w:lineRule="auto"/>
            </w:pPr>
            <w:r>
              <w:rPr>
                <w:sz w:val="17"/>
              </w:rPr>
              <w:t>下一可交易开盘执行</w:t>
            </w:r>
          </w:p>
        </w:tc>
        <w:tc>
          <w:tcPr>
            <w:tcW w:type="dxa" w:w="32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 w:line="288" w:lineRule="auto"/>
            </w:pPr>
            <w:r>
              <w:rPr>
                <w:sz w:val="17"/>
              </w:rPr>
              <w:t>+162.2%</w:t>
            </w:r>
          </w:p>
        </w:tc>
        <w:tc>
          <w:tcPr>
            <w:tcW w:type="dxa" w:w="32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 w:line="288" w:lineRule="auto"/>
            </w:pPr>
            <w:r>
              <w:rPr>
                <w:sz w:val="17"/>
              </w:rPr>
              <w:t>-36.7%</w:t>
            </w:r>
          </w:p>
        </w:tc>
      </w:tr>
      <w:tr>
        <w:tc>
          <w:tcPr>
            <w:tcW w:type="dxa" w:w="32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1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 w:line="288" w:lineRule="auto"/>
            </w:pPr>
            <w:r>
              <w:rPr>
                <w:sz w:val="17"/>
              </w:rPr>
              <w:t>Excel 月度配置近似</w:t>
            </w:r>
          </w:p>
        </w:tc>
        <w:tc>
          <w:tcPr>
            <w:tcW w:type="dxa" w:w="32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1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 w:line="288" w:lineRule="auto"/>
            </w:pPr>
            <w:r>
              <w:rPr>
                <w:sz w:val="17"/>
              </w:rPr>
              <w:t>+171.7%</w:t>
            </w:r>
          </w:p>
        </w:tc>
        <w:tc>
          <w:tcPr>
            <w:tcW w:type="dxa" w:w="32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1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 w:line="288" w:lineRule="auto"/>
            </w:pPr>
            <w:r>
              <w:rPr>
                <w:sz w:val="17"/>
              </w:rPr>
              <w:t>-37.4%</w:t>
            </w:r>
          </w:p>
        </w:tc>
      </w:tr>
    </w:tbl>
    <w:p>
      <w:pPr>
        <w:spacing w:after="0"/>
      </w:pPr>
    </w:p>
    <w:p>
      <w:r>
        <w:drawing>
          <wp:inline xmlns:a="http://schemas.openxmlformats.org/drawingml/2006/main" xmlns:pic="http://schemas.openxmlformats.org/drawingml/2006/picture">
            <wp:extent cx="6035040" cy="25864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foli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5864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2 实际执行模拟与月度公式近似分别计算。调仓份额使用信号时点已知价格，执行价格取下一完整日线开盘；现金不足时限制买入。</w:t>
      </w:r>
    </w:p>
    <w:p>
      <w:pPr>
        <w:pStyle w:val="Heading1"/>
        <w:pageBreakBefore/>
      </w:pPr>
      <w:r>
        <w:t>配置敏感性分析</w:t>
      </w:r>
    </w:p>
    <w:p>
      <w:r>
        <w:t>固定网格逐项改变一个参数；全部使用下一可交易开盘执行口径。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2016"/>
        <w:gridCol w:w="2016"/>
        <w:gridCol w:w="2016"/>
      </w:tblGrid>
      <w:tr>
        <w:trPr>
          <w:tblHeader/>
        </w:trPr>
        <w:tc>
          <w:tcPr>
            <w:tcW w:type="dxa" w:w="24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3C5147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 w:line="288" w:lineRule="auto"/>
            </w:pPr>
            <w:r>
              <w:rPr>
                <w:b/>
                <w:color w:val="FFFFFF"/>
                <w:sz w:val="17"/>
              </w:rPr>
              <w:t>情景</w:t>
            </w:r>
          </w:p>
        </w:tc>
        <w:tc>
          <w:tcPr>
            <w:tcW w:type="dxa" w:w="24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3C5147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 w:line="288" w:lineRule="auto"/>
            </w:pPr>
            <w:r>
              <w:rPr>
                <w:b/>
                <w:color w:val="FFFFFF"/>
                <w:sz w:val="17"/>
              </w:rPr>
              <w:t>年化收益</w:t>
            </w:r>
          </w:p>
        </w:tc>
        <w:tc>
          <w:tcPr>
            <w:tcW w:type="dxa" w:w="24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3C5147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 w:line="288" w:lineRule="auto"/>
            </w:pPr>
            <w:r>
              <w:rPr>
                <w:b/>
                <w:color w:val="FFFFFF"/>
                <w:sz w:val="17"/>
              </w:rPr>
              <w:t>最大回撤</w:t>
            </w:r>
          </w:p>
        </w:tc>
        <w:tc>
          <w:tcPr>
            <w:tcW w:type="dxa" w:w="24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3C5147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 w:line="288" w:lineRule="auto"/>
            </w:pPr>
            <w:r>
              <w:rPr>
                <w:b/>
                <w:color w:val="FFFFFF"/>
                <w:sz w:val="17"/>
              </w:rPr>
              <w:t>年化波动</w:t>
            </w:r>
          </w:p>
        </w:tc>
      </w:tr>
      <w:t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 w:line="288" w:lineRule="auto"/>
            </w:pPr>
            <w:r>
              <w:rPr>
                <w:sz w:val="17"/>
              </w:rPr>
              <w:t>原始配置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 w:line="288" w:lineRule="auto"/>
            </w:pPr>
            <w:r>
              <w:rPr>
                <w:sz w:val="17"/>
              </w:rPr>
              <w:t>+21.7%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 w:line="288" w:lineRule="auto"/>
            </w:pPr>
            <w:r>
              <w:rPr>
                <w:sz w:val="17"/>
              </w:rPr>
              <w:t>-36.7%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 w:line="288" w:lineRule="auto"/>
            </w:pPr>
            <w:r>
              <w:rPr>
                <w:sz w:val="17"/>
              </w:rPr>
              <w:t>+24.9%</w:t>
            </w:r>
          </w:p>
        </w:tc>
      </w:tr>
      <w:t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1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 w:line="288" w:lineRule="auto"/>
            </w:pPr>
            <w:r>
              <w:rPr>
                <w:sz w:val="17"/>
              </w:rPr>
              <w:t>成本 0 bps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1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 w:line="288" w:lineRule="auto"/>
            </w:pPr>
            <w:r>
              <w:rPr>
                <w:sz w:val="17"/>
              </w:rPr>
              <w:t>+21.8%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1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 w:line="288" w:lineRule="auto"/>
            </w:pPr>
            <w:r>
              <w:rPr>
                <w:sz w:val="17"/>
              </w:rPr>
              <w:t>-36.6%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1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 w:line="288" w:lineRule="auto"/>
            </w:pPr>
            <w:r>
              <w:rPr>
                <w:sz w:val="17"/>
              </w:rPr>
              <w:t>+24.9%</w:t>
            </w:r>
          </w:p>
        </w:tc>
      </w:tr>
      <w:t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 w:line="288" w:lineRule="auto"/>
            </w:pPr>
            <w:r>
              <w:rPr>
                <w:sz w:val="17"/>
              </w:rPr>
              <w:t>成本 10 bps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 w:line="288" w:lineRule="auto"/>
            </w:pPr>
            <w:r>
              <w:rPr>
                <w:sz w:val="17"/>
              </w:rPr>
              <w:t>+21.7%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 w:line="288" w:lineRule="auto"/>
            </w:pPr>
            <w:r>
              <w:rPr>
                <w:sz w:val="17"/>
              </w:rPr>
              <w:t>-36.7%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 w:line="288" w:lineRule="auto"/>
            </w:pPr>
            <w:r>
              <w:rPr>
                <w:sz w:val="17"/>
              </w:rPr>
              <w:t>+24.9%</w:t>
            </w:r>
          </w:p>
        </w:tc>
      </w:tr>
      <w:t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1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 w:line="288" w:lineRule="auto"/>
            </w:pPr>
            <w:r>
              <w:rPr>
                <w:sz w:val="17"/>
              </w:rPr>
              <w:t>成本 25 bps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1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 w:line="288" w:lineRule="auto"/>
            </w:pPr>
            <w:r>
              <w:rPr>
                <w:sz w:val="17"/>
              </w:rPr>
              <w:t>+21.6%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1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 w:line="288" w:lineRule="auto"/>
            </w:pPr>
            <w:r>
              <w:rPr>
                <w:sz w:val="17"/>
              </w:rPr>
              <w:t>-36.8%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1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 w:line="288" w:lineRule="auto"/>
            </w:pPr>
            <w:r>
              <w:rPr>
                <w:sz w:val="17"/>
              </w:rPr>
              <w:t>+24.8%</w:t>
            </w:r>
          </w:p>
        </w:tc>
      </w:tr>
      <w:t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 w:line="288" w:lineRule="auto"/>
            </w:pPr>
            <w:r>
              <w:rPr>
                <w:sz w:val="17"/>
              </w:rPr>
              <w:t>成本 50 bps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 w:line="288" w:lineRule="auto"/>
            </w:pPr>
            <w:r>
              <w:rPr>
                <w:sz w:val="17"/>
              </w:rPr>
              <w:t>+21.4%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 w:line="288" w:lineRule="auto"/>
            </w:pPr>
            <w:r>
              <w:rPr>
                <w:sz w:val="17"/>
              </w:rPr>
              <w:t>-36.9%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 w:line="288" w:lineRule="auto"/>
            </w:pPr>
            <w:r>
              <w:rPr>
                <w:sz w:val="17"/>
              </w:rPr>
              <w:t>+24.8%</w:t>
            </w:r>
          </w:p>
        </w:tc>
      </w:tr>
      <w:t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1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 w:line="288" w:lineRule="auto"/>
            </w:pPr>
            <w:r>
              <w:rPr>
                <w:sz w:val="17"/>
              </w:rPr>
              <w:t>买入持有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1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 w:line="288" w:lineRule="auto"/>
            </w:pPr>
            <w:r>
              <w:rPr>
                <w:sz w:val="17"/>
              </w:rPr>
              <w:t>+17.2%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1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 w:line="288" w:lineRule="auto"/>
            </w:pPr>
            <w:r>
              <w:rPr>
                <w:sz w:val="17"/>
              </w:rPr>
              <w:t>-37.3%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1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 w:line="288" w:lineRule="auto"/>
            </w:pPr>
            <w:r>
              <w:rPr>
                <w:sz w:val="17"/>
              </w:rPr>
              <w:t>+24.9%</w:t>
            </w:r>
          </w:p>
        </w:tc>
      </w:tr>
      <w:t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 w:line="288" w:lineRule="auto"/>
            </w:pPr>
            <w:r>
              <w:rPr>
                <w:sz w:val="17"/>
              </w:rPr>
              <w:t>每 1 月再平衡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 w:line="288" w:lineRule="auto"/>
            </w:pPr>
            <w:r>
              <w:rPr>
                <w:sz w:val="17"/>
              </w:rPr>
              <w:t>+21.6%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 w:line="288" w:lineRule="auto"/>
            </w:pPr>
            <w:r>
              <w:rPr>
                <w:sz w:val="17"/>
              </w:rPr>
              <w:t>-36.3%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 w:line="288" w:lineRule="auto"/>
            </w:pPr>
            <w:r>
              <w:rPr>
                <w:sz w:val="17"/>
              </w:rPr>
              <w:t>+25.4%</w:t>
            </w:r>
          </w:p>
        </w:tc>
      </w:tr>
      <w:t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1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 w:line="288" w:lineRule="auto"/>
            </w:pPr>
            <w:r>
              <w:rPr>
                <w:sz w:val="17"/>
              </w:rPr>
              <w:t>每 12 月再平衡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1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 w:line="288" w:lineRule="auto"/>
            </w:pPr>
            <w:r>
              <w:rPr>
                <w:sz w:val="17"/>
              </w:rPr>
              <w:t>+18.7%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1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 w:line="288" w:lineRule="auto"/>
            </w:pPr>
            <w:r>
              <w:rPr>
                <w:sz w:val="17"/>
              </w:rPr>
              <w:t>-37.4%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1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 w:line="288" w:lineRule="auto"/>
            </w:pPr>
            <w:r>
              <w:rPr>
                <w:sz w:val="17"/>
              </w:rPr>
              <w:t>+25.6%</w:t>
            </w:r>
          </w:p>
        </w:tc>
      </w:tr>
      <w:t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 w:line="288" w:lineRule="auto"/>
            </w:pPr>
            <w:r>
              <w:rPr>
                <w:sz w:val="17"/>
              </w:rPr>
              <w:t>GLD 20%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 w:line="288" w:lineRule="auto"/>
            </w:pPr>
            <w:r>
              <w:rPr>
                <w:sz w:val="17"/>
              </w:rPr>
              <w:t>+17.4%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 w:line="288" w:lineRule="auto"/>
            </w:pPr>
            <w:r>
              <w:rPr>
                <w:sz w:val="17"/>
              </w:rPr>
              <w:t>-62.8%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 w:line="288" w:lineRule="auto"/>
            </w:pPr>
            <w:r>
              <w:rPr>
                <w:sz w:val="17"/>
              </w:rPr>
              <w:t>+44.4%</w:t>
            </w:r>
          </w:p>
        </w:tc>
      </w:tr>
      <w:t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1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 w:line="288" w:lineRule="auto"/>
            </w:pPr>
            <w:r>
              <w:rPr>
                <w:sz w:val="17"/>
              </w:rPr>
              <w:t>GLD 50%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1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 w:line="288" w:lineRule="auto"/>
            </w:pPr>
            <w:r>
              <w:rPr>
                <w:sz w:val="17"/>
              </w:rPr>
              <w:t>+21.2%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1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 w:line="288" w:lineRule="auto"/>
            </w:pPr>
            <w:r>
              <w:rPr>
                <w:sz w:val="17"/>
              </w:rPr>
              <w:t>-44.0%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1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 w:line="288" w:lineRule="auto"/>
            </w:pPr>
            <w:r>
              <w:rPr>
                <w:sz w:val="17"/>
              </w:rPr>
              <w:t>+29.2%</w:t>
            </w:r>
          </w:p>
        </w:tc>
      </w:tr>
      <w:t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 w:line="288" w:lineRule="auto"/>
            </w:pPr>
            <w:r>
              <w:rPr>
                <w:sz w:val="17"/>
              </w:rPr>
              <w:t>GLD 80%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 w:line="288" w:lineRule="auto"/>
            </w:pPr>
            <w:r>
              <w:rPr>
                <w:sz w:val="17"/>
              </w:rPr>
              <w:t>+21.6%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 w:line="288" w:lineRule="auto"/>
            </w:pPr>
            <w:r>
              <w:rPr>
                <w:sz w:val="17"/>
              </w:rPr>
              <w:t>-22.5%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 w:line="288" w:lineRule="auto"/>
            </w:pPr>
            <w:r>
              <w:rPr>
                <w:sz w:val="17"/>
              </w:rPr>
              <w:t>+18.4%</w:t>
            </w:r>
          </w:p>
        </w:tc>
      </w:tr>
      <w:t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1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 w:line="288" w:lineRule="auto"/>
            </w:pPr>
            <w:r>
              <w:rPr>
                <w:sz w:val="17"/>
              </w:rPr>
              <w:t>前半区间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1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 w:line="288" w:lineRule="auto"/>
            </w:pPr>
            <w:r>
              <w:rPr>
                <w:sz w:val="17"/>
              </w:rPr>
              <w:t>+18.9%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1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 w:line="288" w:lineRule="auto"/>
            </w:pPr>
            <w:r>
              <w:rPr>
                <w:sz w:val="17"/>
              </w:rPr>
              <w:t>-36.7%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1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 w:line="288" w:lineRule="auto"/>
            </w:pPr>
            <w:r>
              <w:rPr>
                <w:sz w:val="17"/>
              </w:rPr>
              <w:t>+28.7%</w:t>
            </w:r>
          </w:p>
        </w:tc>
      </w:tr>
      <w:t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 w:line="288" w:lineRule="auto"/>
            </w:pPr>
            <w:r>
              <w:rPr>
                <w:sz w:val="17"/>
              </w:rPr>
              <w:t>后半区间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 w:line="288" w:lineRule="auto"/>
            </w:pPr>
            <w:r>
              <w:rPr>
                <w:sz w:val="17"/>
              </w:rPr>
              <w:t>+23.6%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 w:line="288" w:lineRule="auto"/>
            </w:pPr>
            <w:r>
              <w:rPr>
                <w:sz w:val="17"/>
              </w:rPr>
              <w:t>-19.2%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 w:line="288" w:lineRule="auto"/>
            </w:pPr>
            <w:r>
              <w:rPr>
                <w:sz w:val="17"/>
              </w:rPr>
              <w:t>+20.8%</w:t>
            </w:r>
          </w:p>
        </w:tc>
      </w:tr>
    </w:tbl>
    <w:p>
      <w:pPr>
        <w:spacing w:after="0"/>
      </w:pPr>
    </w:p>
    <w:p>
      <w:r>
        <w:t>分段结果为历史稳健性检查，不是样本外检验；不同期限比较应看年化及风险，不以全样本最优结果推荐配置。Excel 中该表为快照，不随蓝色输入格重算。</w:t>
      </w:r>
    </w:p>
    <w:p>
      <w:r>
        <w:t>前半区间：2021-09-30 至 2024-03-28，31 个月末锚点。</w:t>
      </w:r>
    </w:p>
    <w:p>
      <w:r>
        <w:t>后半区间：2024-03-28 至 2026-08-31，30 个月末锚点。</w:t>
      </w:r>
    </w:p>
    <w:p>
      <w:r>
        <w:t>免费公开数据可能延迟、修订或暂时不可用。采集时间与快照哈希固定本次可复核范围。</w:t>
      </w:r>
    </w:p>
    <w:p>
      <w:r>
        <w:t>日线无法隔离公告前后的盘中交易。日期级来源保留盘前/盘后不确定性，市场反应等级不表示因果概率。</w:t>
      </w:r>
    </w:p>
    <w:p>
      <w:r>
        <w:t>回测采用固定事前权重，交易成本按成交额扣除。月度公式近似与下一开盘执行分别报告。</w:t>
      </w:r>
    </w:p>
    <w:p>
      <w:r>
        <w:t>宏观数据为当前可得历史版本，压力月份为全样本事后选择。二者仅用于解释，不进入交易信号。</w:t>
      </w:r>
    </w:p>
    <w:p>
      <w:r>
        <w:t>使用六小时内行情缓存；采集时间保留为原始时间</w:t>
      </w:r>
    </w:p>
    <w:p>
      <w:r>
        <w:t>独立核验：已读全部 15 条来源原文（含 Fed 声明、CNBC、Decrypt、NPR 等高影响来源），逐项核对 10 个事件的日期、事实与来源支持度。核心事实均获原文支持：ev-1 的 1.5%–1.75% 区间、1994 年以来最大、点阵图 3.4%、GDP 由 2.8% 下调至 1.7%；ev-4 的 3%–3.25% 区间与缩表措辞；ev-2 的盘中跌约17%至约22,764美元、市值首破1万亿；ev-3 的 LUNA 归零、UST 约。完整记录见 HTML 方法页。</w:t>
      </w:r>
    </w:p>
    <w:p>
      <w:pPr>
        <w:pStyle w:val="Heading1"/>
        <w:pageBreakBefore/>
      </w:pPr>
      <w:r>
        <w:t>事件与市场反应</w:t>
      </w:r>
    </w:p>
    <w:p>
      <w:pPr>
        <w:pStyle w:val="Heading2"/>
      </w:pPr>
      <w:r>
        <w:t>2022-06-15  美联储加息75个基点，为1994年以来最大单次加息</w:t>
      </w:r>
    </w:p>
    <w:p>
      <w:r>
        <w:t>美联储6月15日将联邦基金利率目标区间上调至1.5%–1.75%，为1994年以来最大单次加息，并称高度关注通胀风险、将继续缩表。点阵图显示年底利率中值升至3.4%，2022年GDP增速预期由2.8%下调至1.7%。</w:t>
      </w:r>
    </w:p>
    <w:p>
      <w:r>
        <w:t>GLD 对齐交易日 2022-06-15，反应等级 低。1 日相对收益 -0.1%；5 日相对收益 +1.1%；20 日相对收益 -7.0%。</w:t>
      </w:r>
    </w:p>
    <w:p>
      <w:r>
        <w:t>BTC-USD 对齐交易日 2022-06-15，反应等级 低。1 日相对收益 +0.2%；5 日相对收益 -5.7%；20 日相对收益 -11.3%。</w:t>
      </w:r>
    </w:p>
    <w:p>
      <w:hyperlink r:id="rId12">
        <w:r>
          <w:rPr>
            <w:color w:val="47765C"/>
            <w:sz w:val="18"/>
          </w:rPr>
          <w:t>[src-4f517df5f22832] www.federalreserve.gov  </w:t>
        </w:r>
      </w:hyperlink>
      <w:hyperlink r:id="rId13">
        <w:r>
          <w:rPr>
            <w:color w:val="47765C"/>
            <w:sz w:val="18"/>
          </w:rPr>
          <w:t>[src-eefffabc38a184] www.cnbc.com  </w:t>
        </w:r>
      </w:hyperlink>
    </w:p>
    <w:p>
      <w:pPr>
        <w:pStyle w:val="Heading2"/>
      </w:pPr>
      <w:r>
        <w:t>2022-06-13  比特币跌破2.3万美元，Celsius暂停提款加剧加密市场抛售</w:t>
      </w:r>
    </w:p>
    <w:p>
      <w:r>
        <w:t>6月13日比特币一度跌约17%至约22,764美元，为2020年12月以来最低，加密总市值自2021年2月以来首次跌破1万亿美元。加密借贷平台Celsius以极端市况为由暂停提款、兑换与转账，市场担忧传染风险。</w:t>
      </w:r>
    </w:p>
    <w:p>
      <w:r>
        <w:t>BTC-USD 对齐交易日 2022-06-13，反应等级 高。1 日相对收益 -12.2%；5 日相对收益 -17.8%；20 日相对收益 -26.3%。</w:t>
      </w:r>
    </w:p>
    <w:p>
      <w:hyperlink r:id="rId14">
        <w:r>
          <w:rPr>
            <w:color w:val="47765C"/>
            <w:sz w:val="18"/>
          </w:rPr>
          <w:t>[src-84d4aa2b0397b9] www.cnbc.com  </w:t>
        </w:r>
      </w:hyperlink>
    </w:p>
    <w:p>
      <w:pPr>
        <w:pStyle w:val="Heading2"/>
      </w:pPr>
      <w:r>
        <w:t>2022-05-13  Terra的LUNA跌至0美元、UST脱锚，比特币反弹至3万美元上方</w:t>
      </w:r>
    </w:p>
    <w:p>
      <w:r>
        <w:t>5月13日算法稳定币UST脱锚、跌至约12美分，姊妹代币LUNA跌至0美元，Terra网络24小时内两度停止处理交易，币安一度下架两者。比特币当日反弹逾5%至约30,046美元，但全周仍跌超15%。</w:t>
      </w:r>
    </w:p>
    <w:p>
      <w:r>
        <w:t>BTC-USD 对齐交易日 2022-05-13，反应等级 低。1 日相对收益 -1.6%；5 日相对收益 +0.7%；20 日相对收益 -1.8%。</w:t>
      </w:r>
    </w:p>
    <w:p>
      <w:hyperlink r:id="rId15">
        <w:r>
          <w:rPr>
            <w:color w:val="47765C"/>
            <w:sz w:val="18"/>
          </w:rPr>
          <w:t>[src-a50be069675b1c] www.cnbc.com  </w:t>
        </w:r>
      </w:hyperlink>
    </w:p>
    <w:p>
      <w:pPr>
        <w:pStyle w:val="Heading1"/>
        <w:pageBreakBefore/>
      </w:pPr>
      <w:r>
        <w:t>事件与市场反应（续 1）</w:t>
      </w:r>
    </w:p>
    <w:p>
      <w:pPr>
        <w:pStyle w:val="Heading2"/>
      </w:pPr>
      <w:r>
        <w:t>2022-09-21  美联储9月加息75个基点至3%–3.25%</w:t>
      </w:r>
    </w:p>
    <w:p>
      <w:r>
        <w:t>美联储9月21日将联邦基金利率目标区间上调至3%–3.25%，声明称通胀仍处高位，反映疫情相关的供需失衡、更高的食品与能源价格及更广泛的价格压力，并重申继续按5月计划缩减国债与机构MBS持仓。</w:t>
      </w:r>
    </w:p>
    <w:p>
      <w:r>
        <w:t>GLD 对齐交易日 2022-09-21，反应等级 中。1 日相对收益 +2.2%；5 日相对收益 +3.1%；20 日相对收益 +2.5%。</w:t>
      </w:r>
    </w:p>
    <w:p>
      <w:r>
        <w:t>BTC-USD 对齐交易日 2022-09-21，反应等级 低。1 日相对收益 -0.1%；5 日相对收益 +3.7%；20 日相对收益 +7.6%。</w:t>
      </w:r>
    </w:p>
    <w:p>
      <w:hyperlink r:id="rId16">
        <w:r>
          <w:rPr>
            <w:color w:val="47765C"/>
            <w:sz w:val="18"/>
          </w:rPr>
          <w:t>[src-d39adf303e613c] www.federalreserve.gov  </w:t>
        </w:r>
      </w:hyperlink>
    </w:p>
    <w:p>
      <w:pPr>
        <w:pStyle w:val="Heading2"/>
      </w:pPr>
      <w:r>
        <w:t>2023-10-23  比特币升破3.1万美元，现货ETF乐观情绪升温</w:t>
      </w:r>
    </w:p>
    <w:p>
      <w:r>
        <w:t>10月23日比特币升破31,000美元，报约31,284美元，24小时涨近5%、七日涨超11%，为7月中以来最高。市场对现货比特币ETF获批的乐观情绪升温，贝莱德等机构申请推进，灰度此前在诉讼中胜诉SEC。</w:t>
      </w:r>
    </w:p>
    <w:p>
      <w:r>
        <w:t>BTC-USD 对齐交易日 2023-10-23，反应等级 高。1 日相对收益 +10.5%；5 日相对收益 +15.6%；20 日相对收益 +19.2%。</w:t>
      </w:r>
    </w:p>
    <w:p>
      <w:r>
        <w:rPr>
          <w:sz w:val="16"/>
        </w:rPr>
        <w:t>时间与证据： 未取得匹配的精确发布时刻，降级为日期对齐。</w:t>
      </w:r>
    </w:p>
    <w:p>
      <w:hyperlink r:id="rId17">
        <w:r>
          <w:rPr>
            <w:color w:val="47765C"/>
            <w:sz w:val="18"/>
          </w:rPr>
          <w:t>[src-1607273d2324e2] decrypt.co  </w:t>
        </w:r>
      </w:hyperlink>
    </w:p>
    <w:p>
      <w:pPr>
        <w:pStyle w:val="Heading2"/>
      </w:pPr>
      <w:r>
        <w:t>2024-01-10  SEC批准比特币现货ETF相关规则变更</w:t>
      </w:r>
    </w:p>
    <w:p>
      <w:r>
        <w:t>美国SEC于1月10日批准规则变更，为设立比特币现货ETF铺路，灰度比特币信托有望转为ETF，贝莱德iShares、富达等也将推出产品，首批基金预计次日起交易。此前一日SEC官方社交账号曾误发获批消息并称账号被入侵。</w:t>
      </w:r>
    </w:p>
    <w:p>
      <w:r>
        <w:t>BTC-USD 对齐交易日 2024-01-10，反应等级 中。1 日相对收益 +0.5%；5 日相对收益 -10.0%；20 日相对收益 -9.8%。</w:t>
      </w:r>
    </w:p>
    <w:p>
      <w:hyperlink r:id="rId18">
        <w:r>
          <w:rPr>
            <w:color w:val="47765C"/>
            <w:sz w:val="18"/>
          </w:rPr>
          <w:t>[src-c1c0f360de49ce] www.cnbc.com  </w:t>
        </w:r>
      </w:hyperlink>
    </w:p>
    <w:p>
      <w:pPr>
        <w:pStyle w:val="Heading1"/>
        <w:pageBreakBefore/>
      </w:pPr>
      <w:r>
        <w:t>事件与市场反应（续 2）</w:t>
      </w:r>
    </w:p>
    <w:p>
      <w:pPr>
        <w:pStyle w:val="Heading2"/>
      </w:pPr>
      <w:r>
        <w:t>2026-01-30  黄金重挫、白银期货暴跌31.4%，沃什获提名缓解美联储独立性担忧</w:t>
      </w:r>
    </w:p>
    <w:p>
      <w:r>
        <w:t>1月30日特朗普提名沃什出任下任美联储主席，缓解市场对央行独立性的担忧并推升美元，贵金属大跌：现货黄金跌约9%至4,895.22美元/盎司，黄金期货跌11.4%至4,745.10美元；现货白银跌28%至83.45美元，白银期货跌31.4%至78.53美元，为1980年3月以来最差单日。</w:t>
      </w:r>
    </w:p>
    <w:p>
      <w:r>
        <w:t>GLD 对齐交易日 2026-01-30，反应等级 高。1 日相对收益 -10.0%；5 日相对收益 -8.5%；20 日相对收益 -1.3%。</w:t>
      </w:r>
    </w:p>
    <w:p>
      <w:hyperlink r:id="rId19">
        <w:r>
          <w:rPr>
            <w:color w:val="47765C"/>
            <w:sz w:val="18"/>
          </w:rPr>
          <w:t>[src-52290fdbe0be60] www.cnbc.com  </w:t>
        </w:r>
      </w:hyperlink>
    </w:p>
    <w:p>
      <w:pPr>
        <w:pStyle w:val="Heading2"/>
      </w:pPr>
      <w:r>
        <w:t>2026-02-02  比特币跌破8万美元，为2025年4月以来首次</w:t>
      </w:r>
    </w:p>
    <w:p>
      <w:r>
        <w:t>2月2日比特币跌破8万美元，为2025年4月以来首次，盘中最低74,876美元，七日跌约12%，市值蒸发逾2,000亿美元。此前全球股市与金银同步下跌，自上周四起逾20亿美元加密多空头寸被强平。</w:t>
      </w:r>
    </w:p>
    <w:p>
      <w:r>
        <w:t>BTC-USD 对齐交易日 2026-02-02，反应等级 中。1 日相对收益 +1.7%；5 日相对收益 -8.1%；20 日相对收益 -11.3%。</w:t>
      </w:r>
    </w:p>
    <w:p>
      <w:hyperlink r:id="rId20">
        <w:r>
          <w:rPr>
            <w:color w:val="47765C"/>
            <w:sz w:val="18"/>
          </w:rPr>
          <w:t>[src-cb000c43e683b8] www.cnbc.com  </w:t>
        </w:r>
      </w:hyperlink>
    </w:p>
    <w:p>
      <w:pPr>
        <w:pStyle w:val="Heading2"/>
      </w:pPr>
      <w:r>
        <w:t>2026-02-05  比特币一度跌破6.1万美元，单周跌近30%，表现远逊黄金</w:t>
      </w:r>
    </w:p>
    <w:p>
      <w:r>
        <w:t>2月5日比特币一度跌至60,062美元，跌破7万美元关键位，单周跌近30%，较10月逾12.6万美元高点回落超50%。报道称其过去一年跌近40%，同期黄金期货涨61%，避险与抗通胀属性未兑现，机构需求逆转、美国ETF年内转为净卖出。</w:t>
      </w:r>
    </w:p>
    <w:p>
      <w:r>
        <w:t>GLD 对齐交易日 2026-02-05，反应等级 低。1 日相对收益 -1.4%；5 日相对收益 +2.2%；20 日相对收益 +3.4%。</w:t>
      </w:r>
    </w:p>
    <w:p>
      <w:r>
        <w:t>BTC-USD 对齐交易日 2026-02-05，反应等级 中。1 日相对收益 -12.9%；5 日相对收益 -5.1%；20 日相对收益 -12.4%。</w:t>
      </w:r>
    </w:p>
    <w:p>
      <w:hyperlink r:id="rId21">
        <w:r>
          <w:rPr>
            <w:color w:val="47765C"/>
            <w:sz w:val="18"/>
          </w:rPr>
          <w:t>[src-6e0021d495f65b] www.cnbc.com  </w:t>
        </w:r>
      </w:hyperlink>
    </w:p>
    <w:p>
      <w:pPr>
        <w:pStyle w:val="Heading1"/>
        <w:pageBreakBefore/>
      </w:pPr>
      <w:r>
        <w:t>事件与市场反应（续 3）</w:t>
      </w:r>
    </w:p>
    <w:p>
      <w:pPr>
        <w:pStyle w:val="Heading2"/>
      </w:pPr>
      <w:r>
        <w:t>2025-03-02  特朗普宣布美国“战略加密储备”将纳入比特币等五种资产</w:t>
      </w:r>
    </w:p>
    <w:p>
      <w:r>
        <w:t>3月2日特朗普在Truth Social宣布设立美国“战略加密储备”，将包含比特币、以太坊、XRP、Solana的SOL与Cardano的ADA，为其首次明确支持“储备”而非“库存”。消息后比特币涨10%至94,343.82美元，XRP涨33%、SOL涨25%、ADA涨逾60%。</w:t>
      </w:r>
    </w:p>
    <w:p>
      <w:r>
        <w:t>BTC-USD 对齐交易日 2025-03-02，反应等级 中。1 日相对收益 +9.6%；5 日相对收益 +8.2%；20 日相对收益 +2.5%。</w:t>
      </w:r>
    </w:p>
    <w:p>
      <w:hyperlink r:id="rId22">
        <w:r>
          <w:rPr>
            <w:color w:val="47765C"/>
            <w:sz w:val="18"/>
          </w:rPr>
          <w:t>[src-65b6657762695e] www.cnbc.com  </w:t>
        </w:r>
      </w:hyperlink>
      <w:hyperlink r:id="rId23">
        <w:r>
          <w:rPr>
            <w:color w:val="47765C"/>
            <w:sz w:val="18"/>
          </w:rPr>
          <w:t>[src-836ed4c0a4973f] www.npr.org  </w:t>
        </w:r>
      </w:hyperlink>
    </w:p>
    <w:p>
      <w:pPr>
        <w:pStyle w:val="Heading1"/>
        <w:pageBreakBefore/>
      </w:pPr>
      <w:r>
        <w:t>来源索引与复核</w:t>
      </w:r>
    </w:p>
    <w:p>
      <w:r>
        <w:t>点击下列名称进入原始来源。数据快照 ID 与哈希可在 Excel Sources、HTML 数据页及 manifest.json 中交叉核对。报告仅保留短引用片段，完整内容请查阅原文。</w:t>
      </w:r>
    </w:p>
    <w:p>
      <w:hyperlink r:id="rId12">
        <w:r>
          <w:rPr>
            <w:color w:val="47765C"/>
            <w:sz w:val="18"/>
          </w:rPr>
          <w:t>[src-4f517df5f22832] Federal Reserve Board - Federal Reserve issues FOMC statement</w:t>
        </w:r>
      </w:hyperlink>
      <w:r>
        <w:rPr>
          <w:color w:val="879387"/>
          <w:sz w:val="16"/>
        </w:rPr>
        <w:br/>
        <w:t>采集 2026-09-29T02:49:31 UTC；状态 retrieved</w:t>
      </w:r>
    </w:p>
    <w:p>
      <w:hyperlink r:id="rId16">
        <w:r>
          <w:rPr>
            <w:color w:val="47765C"/>
            <w:sz w:val="18"/>
          </w:rPr>
          <w:t>[src-d39adf303e613c] Federal Reserve Board - Federal Reserve issues FOMC statement</w:t>
        </w:r>
      </w:hyperlink>
      <w:r>
        <w:rPr>
          <w:color w:val="879387"/>
          <w:sz w:val="16"/>
        </w:rPr>
        <w:br/>
        <w:t>采集 2026-09-29T02:49:56 UTC；状态 retrieved</w:t>
      </w:r>
    </w:p>
    <w:p>
      <w:hyperlink r:id="rId15">
        <w:r>
          <w:rPr>
            <w:color w:val="47765C"/>
            <w:sz w:val="18"/>
          </w:rPr>
          <w:t>[src-a50be069675b1c] Cryptocurrency luna crashes to $0 as UST falls from peg; bitcoin rises</w:t>
        </w:r>
      </w:hyperlink>
      <w:r>
        <w:rPr>
          <w:color w:val="879387"/>
          <w:sz w:val="16"/>
        </w:rPr>
        <w:br/>
        <w:t>采集 2026-09-29T02:49:57 UTC；状态 retrieved</w:t>
      </w:r>
    </w:p>
    <w:p>
      <w:hyperlink r:id="rId22">
        <w:r>
          <w:rPr>
            <w:color w:val="47765C"/>
            <w:sz w:val="18"/>
          </w:rPr>
          <w:t>[src-65b6657762695e] Trump announces strategic crypto reserve including bitcoin, Solana, XRP and more</w:t>
        </w:r>
      </w:hyperlink>
      <w:r>
        <w:rPr>
          <w:color w:val="879387"/>
          <w:sz w:val="16"/>
        </w:rPr>
        <w:br/>
        <w:t>采集 2026-09-29T02:50:22 UTC；状态 retrieved</w:t>
      </w:r>
    </w:p>
    <w:p>
      <w:hyperlink r:id="rId17">
        <w:r>
          <w:rPr>
            <w:color w:val="47765C"/>
            <w:sz w:val="18"/>
          </w:rPr>
          <w:t>[src-1607273d2324e2] Bitcoin Blasts Past $31,000 as Optimism for BTC Spot ETF Surges - Decrypt</w:t>
        </w:r>
      </w:hyperlink>
      <w:r>
        <w:rPr>
          <w:color w:val="879387"/>
          <w:sz w:val="16"/>
        </w:rPr>
        <w:br/>
        <w:t>采集 2026-09-29T02:50:42 UTC；状态 retrieved</w:t>
      </w:r>
    </w:p>
    <w:p>
      <w:hyperlink r:id="rId10">
        <w:r>
          <w:rPr>
            <w:color w:val="47765C"/>
            <w:sz w:val="18"/>
          </w:rPr>
          <w:t>[src-b38ac08d0bba86] SPDR® Gold Shares (Ticker: GLD, New York Stock Exchange) | Charts, data and downloads | World Gold Trust Services</w:t>
        </w:r>
      </w:hyperlink>
      <w:r>
        <w:rPr>
          <w:color w:val="879387"/>
          <w:sz w:val="16"/>
        </w:rPr>
        <w:br/>
        <w:t>采集 2026-09-29T02:50:43 UTC；状态 retrieved</w:t>
      </w:r>
    </w:p>
    <w:p>
      <w:hyperlink r:id="rId21">
        <w:r>
          <w:rPr>
            <w:color w:val="47765C"/>
            <w:sz w:val="18"/>
          </w:rPr>
          <w:t>[src-6e0021d495f65b] Bitcoin briefly breaks below $61,000 as sell-off intensifies</w:t>
        </w:r>
      </w:hyperlink>
      <w:r>
        <w:rPr>
          <w:color w:val="879387"/>
          <w:sz w:val="16"/>
        </w:rPr>
        <w:br/>
        <w:t>采集 2026-09-29T02:50:43 UTC；状态 retrieved</w:t>
      </w:r>
    </w:p>
    <w:p>
      <w:hyperlink r:id="rId18">
        <w:r>
          <w:rPr>
            <w:color w:val="47765C"/>
            <w:sz w:val="18"/>
          </w:rPr>
          <w:t>[src-c1c0f360de49ce] SEC approves rule changes that pave the way for bitcoin ETFs</w:t>
        </w:r>
      </w:hyperlink>
      <w:r>
        <w:rPr>
          <w:color w:val="879387"/>
          <w:sz w:val="16"/>
        </w:rPr>
        <w:br/>
        <w:t>采集 2026-09-29T02:51:05 UTC；状态 retrieved</w:t>
      </w:r>
    </w:p>
    <w:p>
      <w:hyperlink r:id="rId20">
        <w:r>
          <w:rPr>
            <w:color w:val="47765C"/>
            <w:sz w:val="18"/>
          </w:rPr>
          <w:t>[src-cb000c43e683b8] Bitcoin price falls under $80,000. Here's why</w:t>
        </w:r>
      </w:hyperlink>
      <w:r>
        <w:rPr>
          <w:color w:val="879387"/>
          <w:sz w:val="16"/>
        </w:rPr>
        <w:br/>
        <w:t>采集 2026-09-29T02:51:26 UTC；状态 retrieved</w:t>
      </w:r>
    </w:p>
    <w:p>
      <w:hyperlink r:id="rId23">
        <w:r>
          <w:rPr>
            <w:color w:val="47765C"/>
            <w:sz w:val="18"/>
          </w:rPr>
          <w:t>[src-836ed4c0a4973f] What to know about Trump's 'crypto strategic reserve' plan : NPR</w:t>
        </w:r>
      </w:hyperlink>
      <w:r>
        <w:rPr>
          <w:color w:val="879387"/>
          <w:sz w:val="16"/>
        </w:rPr>
        <w:br/>
        <w:t>采集 2026-09-29T02:51:26 UTC；状态 retrieved</w:t>
      </w:r>
    </w:p>
    <w:p>
      <w:hyperlink r:id="rId19">
        <w:r>
          <w:rPr>
            <w:color w:val="47765C"/>
            <w:sz w:val="18"/>
          </w:rPr>
          <w:t>[src-52290fdbe0be60] Silver, gold sell off as precious metals markets nosedive</w:t>
        </w:r>
      </w:hyperlink>
      <w:r>
        <w:rPr>
          <w:color w:val="879387"/>
          <w:sz w:val="16"/>
        </w:rPr>
        <w:br/>
        <w:t>采集 2026-09-29T02:51:50 UTC；状态 retrieved</w:t>
      </w:r>
    </w:p>
    <w:p>
      <w:hyperlink r:id="rId13">
        <w:r>
          <w:rPr>
            <w:color w:val="47765C"/>
            <w:sz w:val="18"/>
          </w:rPr>
          <w:t>[src-eefffabc38a184] Fed hikes its benchmark interest rate by 0.75 percentage point, the biggest increase since 1994</w:t>
        </w:r>
      </w:hyperlink>
      <w:r>
        <w:rPr>
          <w:color w:val="879387"/>
          <w:sz w:val="16"/>
        </w:rPr>
        <w:br/>
        <w:t>采集 2026-09-29T02:53:16 UTC；状态 retrieved</w:t>
      </w:r>
    </w:p>
    <w:p>
      <w:hyperlink r:id="rId14">
        <w:r>
          <w:rPr>
            <w:color w:val="47765C"/>
            <w:sz w:val="18"/>
          </w:rPr>
          <w:t>[src-84d4aa2b0397b9] Bitcoin (BTC) falls as market focuses on Celsius issue, Fed rate hike</w:t>
        </w:r>
      </w:hyperlink>
      <w:r>
        <w:rPr>
          <w:color w:val="879387"/>
          <w:sz w:val="16"/>
        </w:rPr>
        <w:br/>
        <w:t>采集 2026-09-29T02:53:17 UTC；状态 retrieved</w:t>
      </w:r>
    </w:p>
    <w:p>
      <w:hyperlink r:id="rId24">
        <w:r>
          <w:rPr>
            <w:color w:val="47765C"/>
            <w:sz w:val="18"/>
          </w:rPr>
          <w:t>[fred-CPIAUCNS] FRED · CPIAUCNS</w:t>
        </w:r>
      </w:hyperlink>
      <w:r>
        <w:rPr>
          <w:color w:val="879387"/>
          <w:sz w:val="16"/>
        </w:rPr>
        <w:br/>
        <w:t>采集 2026-09-29T02:49:20 UTC；状态 retrieved</w:t>
      </w:r>
    </w:p>
    <w:p>
      <w:hyperlink r:id="rId25">
        <w:r>
          <w:rPr>
            <w:color w:val="47765C"/>
            <w:sz w:val="18"/>
          </w:rPr>
          <w:t>[fred-DGS3MO] FRED · DGS3MO</w:t>
        </w:r>
      </w:hyperlink>
      <w:r>
        <w:rPr>
          <w:color w:val="879387"/>
          <w:sz w:val="16"/>
        </w:rPr>
        <w:br/>
        <w:t>采集 2026-09-29T02:49:22 UTC；状态 retrieved</w:t>
      </w:r>
    </w:p>
    <w:p>
      <w:hyperlink r:id="rId26">
        <w:r>
          <w:rPr>
            <w:color w:val="47765C"/>
            <w:sz w:val="18"/>
          </w:rPr>
          <w:t>[prices-GLD-1a8f833cf4e3] GLD 日线数据</w:t>
        </w:r>
      </w:hyperlink>
    </w:p>
    <w:p>
      <w:hyperlink r:id="rId27">
        <w:r>
          <w:rPr>
            <w:color w:val="47765C"/>
            <w:sz w:val="18"/>
          </w:rPr>
          <w:t>[prices-BTC-USD-f3226c91d62b] BTC-USD 日线数据</w:t>
        </w:r>
      </w:hyperlink>
    </w:p>
    <w:p>
      <w:hyperlink r:id="rId28">
        <w:r>
          <w:rPr>
            <w:color w:val="47765C"/>
            <w:sz w:val="18"/>
          </w:rPr>
          <w:t>[prices-SPY-ba0266b147e1] SPY 日线数据</w:t>
        </w:r>
      </w:hyperlink>
    </w:p>
    <w:sectPr w:rsidR="00FC693F" w:rsidRPr="0006063C" w:rsidSect="00034616">
      <w:pgSz w:w="11909" w:h="16834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60"/>
    </w:pPr>
    <w:rPr>
      <w:rFonts w:ascii="Heiti SC" w:hAnsi="Heiti SC" w:eastAsia="Heiti SC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0"/>
      <w:outlineLvl w:val="0"/>
    </w:pPr>
    <w:rPr>
      <w:rFonts w:cstheme="majorBidi" w:ascii="Heiti SC" w:hAnsi="Heiti SC" w:eastAsia="Heiti SC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Heiti SC" w:hAnsi="Heiti SC" w:eastAsia="Heiti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Heiti SC" w:hAnsi="Heiti SC" w:eastAsia="Heiti SC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cstheme="majorBidi" w:ascii="Heiti SC" w:hAnsi="Heiti SC" w:eastAsia="Heiti SC"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Heiti SC" w:hAnsi="Heiti SC" w:eastAsia="Heiti S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Heiti SC" w:hAnsi="Heiti SC" w:eastAsia="Heiti SC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www.spdrgoldshares.com/usa/gld/" TargetMode="External"/><Relationship Id="rId11" Type="http://schemas.openxmlformats.org/officeDocument/2006/relationships/image" Target="media/image2.png"/><Relationship Id="rId12" Type="http://schemas.openxmlformats.org/officeDocument/2006/relationships/hyperlink" Target="https://www.federalreserve.gov/newsevents/pressreleases/monetary20220615a.htm" TargetMode="External"/><Relationship Id="rId13" Type="http://schemas.openxmlformats.org/officeDocument/2006/relationships/hyperlink" Target="https://www.cnbc.com/2022/06/15/fed-hikes-its-benchmark-interest-rate-by-three-quarters-of-a-point-the-biggest-increase-since-1994.html" TargetMode="External"/><Relationship Id="rId14" Type="http://schemas.openxmlformats.org/officeDocument/2006/relationships/hyperlink" Target="https://www.cnbc.com/2022/06/13/bitcoin-btc-falls-as-market-focuses-on-celsius-issue-fed-rate-hike.html" TargetMode="External"/><Relationship Id="rId15" Type="http://schemas.openxmlformats.org/officeDocument/2006/relationships/hyperlink" Target="https://www.cnbc.com/2022/05/13/cryptocurrency-luna-crashes-to-0-as-ust-falls-from-peg-bitcoin-rises.html" TargetMode="External"/><Relationship Id="rId16" Type="http://schemas.openxmlformats.org/officeDocument/2006/relationships/hyperlink" Target="https://www.federalreserve.gov/newsevents/pressreleases/monetary20220921a.htm" TargetMode="External"/><Relationship Id="rId17" Type="http://schemas.openxmlformats.org/officeDocument/2006/relationships/hyperlink" Target="https://decrypt.co/202840/bitcoin-31000-spot-btc-etf-optimism" TargetMode="External"/><Relationship Id="rId18" Type="http://schemas.openxmlformats.org/officeDocument/2006/relationships/hyperlink" Target="https://www.cnbc.com/2024/01/10/sec-approves-rule-changes-that-pave-the-way-for-bitcoin-etfs.html" TargetMode="External"/><Relationship Id="rId19" Type="http://schemas.openxmlformats.org/officeDocument/2006/relationships/hyperlink" Target="https://www.cnbc.com/2026/01/30/silver-gold-fall-price-usd-dollar-fed-warsh-chair-trump-metals.html" TargetMode="External"/><Relationship Id="rId20" Type="http://schemas.openxmlformats.org/officeDocument/2006/relationships/hyperlink" Target="https://www.cnbc.com/2026/02/02/bitcoin-btc-price-today-cryptocurrency.html" TargetMode="External"/><Relationship Id="rId21" Type="http://schemas.openxmlformats.org/officeDocument/2006/relationships/hyperlink" Target="https://www.cnbc.com/2026/02/05/bitcoin-price-today-70000-in-focus.html" TargetMode="External"/><Relationship Id="rId22" Type="http://schemas.openxmlformats.org/officeDocument/2006/relationships/hyperlink" Target="https://www.cnbc.com/2025/03/02/trump-announces-strategic-crypto-reserve-including-bitcoin-solana-xrp-and-more.html" TargetMode="External"/><Relationship Id="rId23" Type="http://schemas.openxmlformats.org/officeDocument/2006/relationships/hyperlink" Target="https://www.npr.org/2025/03/04/g-s1-51748/trump-crypto-reserve-bitcoin-stockpile-ether" TargetMode="External"/><Relationship Id="rId24" Type="http://schemas.openxmlformats.org/officeDocument/2006/relationships/hyperlink" Target="https://fred.stlouisfed.org/series/CPIAUCNS" TargetMode="External"/><Relationship Id="rId25" Type="http://schemas.openxmlformats.org/officeDocument/2006/relationships/hyperlink" Target="https://fred.stlouisfed.org/series/DGS3MO" TargetMode="External"/><Relationship Id="rId26" Type="http://schemas.openxmlformats.org/officeDocument/2006/relationships/hyperlink" Target="https://query1.finance.yahoo.com/v8/finance/chart/GLD?period1=1598227200&amp;period2=1790726400&amp;interval=1d&amp;events=div%2Csplits&amp;includeAdjustedClose=true" TargetMode="External"/><Relationship Id="rId27" Type="http://schemas.openxmlformats.org/officeDocument/2006/relationships/hyperlink" Target="https://query1.finance.yahoo.com/v8/finance/chart/BTC-USD?period1=1598227200&amp;period2=1790726400&amp;interval=1d&amp;events=div%2Csplits&amp;includeAdjustedClose=true" TargetMode="External"/><Relationship Id="rId28" Type="http://schemas.openxmlformats.org/officeDocument/2006/relationships/hyperlink" Target="https://query1.finance.yahoo.com/v8/finance/chart/SPY?period1=1598227200&amp;period2=1790726400&amp;interval=1d&amp;events=div%2Csplits&amp;includeAdjustedClose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黄金 ETF 代理（GLD）与比特币（BTC-USD）近五年避险与抗通胀表现比较：60/40 组合、季度再平衡</dc:title>
  <dc:subject/>
  <dc:creator>Evidence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