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55783168" w:rsidR="00306E5F" w:rsidRPr="00BE2218" w:rsidRDefault="0021747B" w:rsidP="00DE6028">
      <w:pPr>
        <w:pStyle w:val="Spacerparatopoffirstpage"/>
      </w:pPr>
      <w:r>
        <mc:AlternateContent>
          <mc:Choice Requires="wps">
            <w:drawing>
              <wp:anchor distT="0" distB="0" distL="114300" distR="114300" simplePos="0" relativeHeight="251659264" behindDoc="0" locked="0" layoutInCell="1" allowOverlap="1" wp14:anchorId="7475887C" wp14:editId="0B668C84">
                <wp:simplePos x="0" y="0"/>
                <wp:positionH relativeFrom="column">
                  <wp:posOffset>2338705</wp:posOffset>
                </wp:positionH>
                <wp:positionV relativeFrom="paragraph">
                  <wp:posOffset>-133350</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19E413B7" w:rsidR="007F209B" w:rsidRPr="007B44BE" w:rsidRDefault="007F209B" w:rsidP="000F3AD9">
                            <w:pPr>
                              <w:pStyle w:val="VAHImainheading"/>
                            </w:pPr>
                            <w:r w:rsidRPr="002411E3">
                              <w:rPr>
                                <w:b w:val="0"/>
                              </w:rPr>
                              <w:t>KPI report</w:t>
                            </w:r>
                            <w:r w:rsidR="000F3AD9">
                              <w:rPr>
                                <w:b w:val="0"/>
                              </w:rPr>
                              <w:tab/>
                            </w:r>
                            <w:r w:rsidR="000F3AD9">
                              <w:rPr>
                                <w:b w:val="0"/>
                              </w:rPr>
                              <w:tab/>
                            </w:r>
                            <w:r w:rsidR="00AC5C83">
                              <w:rPr>
                                <w:rFonts w:ascii="VIC Medium" w:hAnsi="VIC Medium"/>
                                <w:sz w:val="28"/>
                                <w:szCs w:val="28"/>
                              </w:rPr>
                              <w:t xml:space="preserve">April – June </w:t>
                            </w:r>
                            <w:r w:rsidR="00C40B45">
                              <w:rPr>
                                <w:rFonts w:ascii="VIC Medium" w:hAnsi="VIC Medium"/>
                                <w:sz w:val="28"/>
                                <w:szCs w:val="28"/>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84.15pt;margin-top:-10.5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CGWsXXkAAAADAEAAA8AAABkcnMvZG93&#10;bnJldi54bWxMj8FOwzAMhu9IvENkJG5b2q4bVWk6TZUmJASHjV24pY3XViROabKt8PRkp3Gz5U+/&#10;v79YT0azM46utyQgnkfAkBqremoFHD62swyY85KU1JZQwA86WJf3d4XMlb3QDs9737IQQi6XAjrv&#10;h5xz13RopJvbASncjnY00od1bLka5SWEG82TKFpxI3sKHzo5YNVh87U/GQGv1fZd7urEZL+6enk7&#10;bobvw+dSiMeHafMMzOPkbzBc9YM6lMGptidSjmkBi1W2CKiAWRKHUlcifUqXwOowxVkKvCz4/xLl&#10;HwAAAP//AwBQSwECLQAUAAYACAAAACEAtoM4kv4AAADhAQAAEwAAAAAAAAAAAAAAAAAAAAAAW0Nv&#10;bnRlbnRfVHlwZXNdLnhtbFBLAQItABQABgAIAAAAIQA4/SH/1gAAAJQBAAALAAAAAAAAAAAAAAAA&#10;AC8BAABfcmVscy8ucmVsc1BLAQItABQABgAIAAAAIQDXe1LOLgIAAFEEAAAOAAAAAAAAAAAAAAAA&#10;AC4CAABkcnMvZTJvRG9jLnhtbFBLAQItABQABgAIAAAAIQAhlrF15AAAAAwBAAAPAAAAAAAAAAAA&#10;AAAAAIgEAABkcnMvZG93bnJldi54bWxQSwUGAAAAAAQABADzAAAAmQUAAAAA&#10;" filled="f" stroked="f" strokeweight=".5pt">
                <v:textbo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19E413B7" w:rsidR="007F209B" w:rsidRPr="007B44BE" w:rsidRDefault="007F209B" w:rsidP="000F3AD9">
                      <w:pPr>
                        <w:pStyle w:val="VAHImainheading"/>
                      </w:pPr>
                      <w:r w:rsidRPr="002411E3">
                        <w:rPr>
                          <w:b w:val="0"/>
                        </w:rPr>
                        <w:t>KPI report</w:t>
                      </w:r>
                      <w:r w:rsidR="000F3AD9">
                        <w:rPr>
                          <w:b w:val="0"/>
                        </w:rPr>
                        <w:tab/>
                      </w:r>
                      <w:r w:rsidR="000F3AD9">
                        <w:rPr>
                          <w:b w:val="0"/>
                        </w:rPr>
                        <w:tab/>
                      </w:r>
                      <w:r w:rsidR="00AC5C83">
                        <w:rPr>
                          <w:rFonts w:ascii="VIC Medium" w:hAnsi="VIC Medium"/>
                          <w:sz w:val="28"/>
                          <w:szCs w:val="28"/>
                        </w:rPr>
                        <w:t xml:space="preserve">April – June </w:t>
                      </w:r>
                      <w:r w:rsidR="00C40B45">
                        <w:rPr>
                          <w:rFonts w:ascii="VIC Medium" w:hAnsi="VIC Medium"/>
                          <w:sz w:val="28"/>
                          <w:szCs w:val="28"/>
                        </w:rPr>
                        <w:t>2020</w:t>
                      </w:r>
                    </w:p>
                  </w:txbxContent>
                </v:textbox>
              </v:shape>
            </w:pict>
          </mc:Fallback>
        </mc:AlternateContent>
      </w:r>
      <w:r>
        <w:drawing>
          <wp:anchor distT="0" distB="0" distL="114300" distR="114300" simplePos="0" relativeHeight="251658240" behindDoc="1" locked="0" layoutInCell="1" allowOverlap="1" wp14:anchorId="7D7DFA02" wp14:editId="58854EA1">
            <wp:simplePos x="0" y="0"/>
            <wp:positionH relativeFrom="page">
              <wp:align>left</wp:align>
            </wp:positionH>
            <wp:positionV relativeFrom="paragraph">
              <wp:posOffset>-498475</wp:posOffset>
            </wp:positionV>
            <wp:extent cx="10691495" cy="1509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5452E0FC"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77777777"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37867114"/>
      <w:bookmarkStart w:id="2" w:name="_Toc45898287"/>
      <w:bookmarkEnd w:id="0"/>
      <w:r w:rsidRPr="000B0CCC">
        <w:rPr>
          <w:sz w:val="22"/>
          <w:szCs w:val="22"/>
        </w:rPr>
        <w:t>Contents</w:t>
      </w:r>
      <w:bookmarkEnd w:id="1"/>
      <w:bookmarkEnd w:id="2"/>
      <w:r w:rsidR="00E30F56" w:rsidRPr="000B0CCC">
        <w:rPr>
          <w:sz w:val="22"/>
          <w:szCs w:val="22"/>
        </w:rPr>
        <w:t xml:space="preserve"> </w:t>
      </w:r>
    </w:p>
    <w:p w14:paraId="7E58C554" w14:textId="173306C2" w:rsidR="00AC5C83" w:rsidRPr="00AC5C83" w:rsidRDefault="00CF11E1">
      <w:pPr>
        <w:pStyle w:val="TOC1"/>
        <w:rPr>
          <w:rFonts w:asciiTheme="minorHAnsi" w:eastAsiaTheme="minorEastAsia" w:hAnsiTheme="minorHAnsi" w:cstheme="minorBidi"/>
          <w:sz w:val="20"/>
          <w:lang w:eastAsia="en-AU"/>
        </w:rPr>
      </w:pPr>
      <w:r w:rsidRPr="00AC5C83">
        <w:rPr>
          <w:rFonts w:ascii="VIC" w:hAnsi="VIC"/>
          <w:sz w:val="20"/>
        </w:rPr>
        <w:fldChar w:fldCharType="begin"/>
      </w:r>
      <w:r w:rsidRPr="00AC5C83">
        <w:rPr>
          <w:rFonts w:ascii="VIC" w:hAnsi="VIC"/>
          <w:sz w:val="20"/>
        </w:rPr>
        <w:instrText xml:space="preserve"> TOC \h \z \t "Heading 1,1,Heading 2,2" </w:instrText>
      </w:r>
      <w:r w:rsidRPr="00AC5C83">
        <w:rPr>
          <w:rFonts w:ascii="VIC" w:hAnsi="VIC"/>
          <w:sz w:val="20"/>
        </w:rPr>
        <w:fldChar w:fldCharType="separate"/>
      </w:r>
      <w:hyperlink w:anchor="_Toc45898288" w:history="1">
        <w:r w:rsidR="00AC5C83" w:rsidRPr="00AC5C83">
          <w:rPr>
            <w:rStyle w:val="Hyperlink"/>
            <w:sz w:val="20"/>
          </w:rPr>
          <w:t>Inpatient 2019–20 Q4</w:t>
        </w:r>
        <w:r w:rsidR="00AC5C83" w:rsidRPr="00AC5C83">
          <w:rPr>
            <w:webHidden/>
            <w:sz w:val="20"/>
          </w:rPr>
          <w:tab/>
        </w:r>
        <w:r w:rsidR="00AC5C83" w:rsidRPr="00AC5C83">
          <w:rPr>
            <w:webHidden/>
            <w:sz w:val="20"/>
          </w:rPr>
          <w:fldChar w:fldCharType="begin"/>
        </w:r>
        <w:r w:rsidR="00AC5C83" w:rsidRPr="00AC5C83">
          <w:rPr>
            <w:webHidden/>
            <w:sz w:val="20"/>
          </w:rPr>
          <w:instrText xml:space="preserve"> PAGEREF _Toc45898288 \h </w:instrText>
        </w:r>
        <w:r w:rsidR="00AC5C83" w:rsidRPr="00AC5C83">
          <w:rPr>
            <w:webHidden/>
            <w:sz w:val="20"/>
          </w:rPr>
        </w:r>
        <w:r w:rsidR="00AC5C83" w:rsidRPr="00AC5C83">
          <w:rPr>
            <w:webHidden/>
            <w:sz w:val="20"/>
          </w:rPr>
          <w:fldChar w:fldCharType="separate"/>
        </w:r>
        <w:r w:rsidR="0021747B">
          <w:rPr>
            <w:webHidden/>
            <w:sz w:val="20"/>
          </w:rPr>
          <w:t>2</w:t>
        </w:r>
        <w:r w:rsidR="00AC5C83" w:rsidRPr="00AC5C83">
          <w:rPr>
            <w:webHidden/>
            <w:sz w:val="20"/>
          </w:rPr>
          <w:fldChar w:fldCharType="end"/>
        </w:r>
      </w:hyperlink>
    </w:p>
    <w:p w14:paraId="2E972D1D" w14:textId="63EA45B4" w:rsidR="00AC5C83" w:rsidRPr="00AC5C83" w:rsidRDefault="007E2EBF">
      <w:pPr>
        <w:pStyle w:val="TOC1"/>
        <w:rPr>
          <w:rFonts w:asciiTheme="minorHAnsi" w:eastAsiaTheme="minorEastAsia" w:hAnsiTheme="minorHAnsi" w:cstheme="minorBidi"/>
          <w:sz w:val="20"/>
          <w:lang w:eastAsia="en-AU"/>
        </w:rPr>
      </w:pPr>
      <w:hyperlink w:anchor="_Toc45898289" w:history="1">
        <w:r w:rsidR="00AC5C83" w:rsidRPr="00AC5C83">
          <w:rPr>
            <w:rStyle w:val="Hyperlink"/>
            <w:sz w:val="20"/>
          </w:rPr>
          <w:t>Community 2019–20 Q4</w:t>
        </w:r>
        <w:r w:rsidR="00AC5C83" w:rsidRPr="00AC5C83">
          <w:rPr>
            <w:webHidden/>
            <w:sz w:val="20"/>
          </w:rPr>
          <w:tab/>
        </w:r>
        <w:r w:rsidR="00AC5C83" w:rsidRPr="00AC5C83">
          <w:rPr>
            <w:webHidden/>
            <w:sz w:val="20"/>
          </w:rPr>
          <w:fldChar w:fldCharType="begin"/>
        </w:r>
        <w:r w:rsidR="00AC5C83" w:rsidRPr="00AC5C83">
          <w:rPr>
            <w:webHidden/>
            <w:sz w:val="20"/>
          </w:rPr>
          <w:instrText xml:space="preserve"> PAGEREF _Toc45898289 \h </w:instrText>
        </w:r>
        <w:r w:rsidR="00AC5C83" w:rsidRPr="00AC5C83">
          <w:rPr>
            <w:webHidden/>
            <w:sz w:val="20"/>
          </w:rPr>
        </w:r>
        <w:r w:rsidR="00AC5C83" w:rsidRPr="00AC5C83">
          <w:rPr>
            <w:webHidden/>
            <w:sz w:val="20"/>
          </w:rPr>
          <w:fldChar w:fldCharType="separate"/>
        </w:r>
        <w:r w:rsidR="0021747B">
          <w:rPr>
            <w:webHidden/>
            <w:sz w:val="20"/>
          </w:rPr>
          <w:t>3</w:t>
        </w:r>
        <w:r w:rsidR="00AC5C83" w:rsidRPr="00AC5C83">
          <w:rPr>
            <w:webHidden/>
            <w:sz w:val="20"/>
          </w:rPr>
          <w:fldChar w:fldCharType="end"/>
        </w:r>
      </w:hyperlink>
    </w:p>
    <w:p w14:paraId="78AA8647" w14:textId="45CBD114" w:rsidR="00AC5C83" w:rsidRPr="00AC5C83" w:rsidRDefault="007E2EBF">
      <w:pPr>
        <w:pStyle w:val="TOC1"/>
        <w:rPr>
          <w:rFonts w:asciiTheme="minorHAnsi" w:eastAsiaTheme="minorEastAsia" w:hAnsiTheme="minorHAnsi" w:cstheme="minorBidi"/>
          <w:sz w:val="20"/>
          <w:lang w:eastAsia="en-AU"/>
        </w:rPr>
      </w:pPr>
      <w:hyperlink w:anchor="_Toc45898290" w:history="1">
        <w:r w:rsidR="00AC5C83" w:rsidRPr="00AC5C83">
          <w:rPr>
            <w:rStyle w:val="Hyperlink"/>
            <w:sz w:val="20"/>
          </w:rPr>
          <w:t>Inpatient 2019–20 Q1–Q4</w:t>
        </w:r>
        <w:r w:rsidR="00AC5C83" w:rsidRPr="00AC5C83">
          <w:rPr>
            <w:webHidden/>
            <w:sz w:val="20"/>
          </w:rPr>
          <w:tab/>
        </w:r>
        <w:r w:rsidR="00AC5C83" w:rsidRPr="00AC5C83">
          <w:rPr>
            <w:webHidden/>
            <w:sz w:val="20"/>
          </w:rPr>
          <w:fldChar w:fldCharType="begin"/>
        </w:r>
        <w:r w:rsidR="00AC5C83" w:rsidRPr="00AC5C83">
          <w:rPr>
            <w:webHidden/>
            <w:sz w:val="20"/>
          </w:rPr>
          <w:instrText xml:space="preserve"> PAGEREF _Toc45898290 \h </w:instrText>
        </w:r>
        <w:r w:rsidR="00AC5C83" w:rsidRPr="00AC5C83">
          <w:rPr>
            <w:webHidden/>
            <w:sz w:val="20"/>
          </w:rPr>
        </w:r>
        <w:r w:rsidR="00AC5C83" w:rsidRPr="00AC5C83">
          <w:rPr>
            <w:webHidden/>
            <w:sz w:val="20"/>
          </w:rPr>
          <w:fldChar w:fldCharType="separate"/>
        </w:r>
        <w:r w:rsidR="0021747B">
          <w:rPr>
            <w:webHidden/>
            <w:sz w:val="20"/>
          </w:rPr>
          <w:t>4</w:t>
        </w:r>
        <w:r w:rsidR="00AC5C83" w:rsidRPr="00AC5C83">
          <w:rPr>
            <w:webHidden/>
            <w:sz w:val="20"/>
          </w:rPr>
          <w:fldChar w:fldCharType="end"/>
        </w:r>
      </w:hyperlink>
    </w:p>
    <w:p w14:paraId="40EE3C57" w14:textId="7F59EB9B" w:rsidR="00AC5C83" w:rsidRPr="00AC5C83" w:rsidRDefault="007E2EBF">
      <w:pPr>
        <w:pStyle w:val="TOC1"/>
        <w:rPr>
          <w:rFonts w:asciiTheme="minorHAnsi" w:eastAsiaTheme="minorEastAsia" w:hAnsiTheme="minorHAnsi" w:cstheme="minorBidi"/>
          <w:sz w:val="20"/>
          <w:lang w:eastAsia="en-AU"/>
        </w:rPr>
      </w:pPr>
      <w:hyperlink w:anchor="_Toc45898291" w:history="1">
        <w:r w:rsidR="00AC5C83" w:rsidRPr="00AC5C83">
          <w:rPr>
            <w:rStyle w:val="Hyperlink"/>
            <w:sz w:val="20"/>
          </w:rPr>
          <w:t>Community 2019–20 Q1–Q4</w:t>
        </w:r>
        <w:r w:rsidR="00AC5C83" w:rsidRPr="00AC5C83">
          <w:rPr>
            <w:webHidden/>
            <w:sz w:val="20"/>
          </w:rPr>
          <w:tab/>
        </w:r>
        <w:r w:rsidR="00AC5C83" w:rsidRPr="00AC5C83">
          <w:rPr>
            <w:webHidden/>
            <w:sz w:val="20"/>
          </w:rPr>
          <w:fldChar w:fldCharType="begin"/>
        </w:r>
        <w:r w:rsidR="00AC5C83" w:rsidRPr="00AC5C83">
          <w:rPr>
            <w:webHidden/>
            <w:sz w:val="20"/>
          </w:rPr>
          <w:instrText xml:space="preserve"> PAGEREF _Toc45898291 \h </w:instrText>
        </w:r>
        <w:r w:rsidR="00AC5C83" w:rsidRPr="00AC5C83">
          <w:rPr>
            <w:webHidden/>
            <w:sz w:val="20"/>
          </w:rPr>
        </w:r>
        <w:r w:rsidR="00AC5C83" w:rsidRPr="00AC5C83">
          <w:rPr>
            <w:webHidden/>
            <w:sz w:val="20"/>
          </w:rPr>
          <w:fldChar w:fldCharType="separate"/>
        </w:r>
        <w:r w:rsidR="0021747B">
          <w:rPr>
            <w:webHidden/>
            <w:sz w:val="20"/>
          </w:rPr>
          <w:t>5</w:t>
        </w:r>
        <w:r w:rsidR="00AC5C83" w:rsidRPr="00AC5C83">
          <w:rPr>
            <w:webHidden/>
            <w:sz w:val="20"/>
          </w:rPr>
          <w:fldChar w:fldCharType="end"/>
        </w:r>
      </w:hyperlink>
    </w:p>
    <w:p w14:paraId="0E8DBAD6" w14:textId="0D8AE1EE" w:rsidR="00AC5C83" w:rsidRPr="00AC5C83" w:rsidRDefault="007E2EBF">
      <w:pPr>
        <w:pStyle w:val="TOC1"/>
        <w:rPr>
          <w:rFonts w:asciiTheme="minorHAnsi" w:eastAsiaTheme="minorEastAsia" w:hAnsiTheme="minorHAnsi" w:cstheme="minorBidi"/>
          <w:sz w:val="20"/>
          <w:lang w:eastAsia="en-AU"/>
        </w:rPr>
      </w:pPr>
      <w:hyperlink w:anchor="_Toc45898292" w:history="1">
        <w:r w:rsidR="00AC5C83" w:rsidRPr="00AC5C83">
          <w:rPr>
            <w:rStyle w:val="Hyperlink"/>
            <w:sz w:val="20"/>
          </w:rPr>
          <w:t>Indicator descriptions and notes</w:t>
        </w:r>
        <w:r w:rsidR="00AC5C83" w:rsidRPr="00AC5C83">
          <w:rPr>
            <w:webHidden/>
            <w:sz w:val="20"/>
          </w:rPr>
          <w:tab/>
        </w:r>
        <w:r w:rsidR="00AC5C83" w:rsidRPr="00AC5C83">
          <w:rPr>
            <w:webHidden/>
            <w:sz w:val="20"/>
          </w:rPr>
          <w:fldChar w:fldCharType="begin"/>
        </w:r>
        <w:r w:rsidR="00AC5C83" w:rsidRPr="00AC5C83">
          <w:rPr>
            <w:webHidden/>
            <w:sz w:val="20"/>
          </w:rPr>
          <w:instrText xml:space="preserve"> PAGEREF _Toc45898292 \h </w:instrText>
        </w:r>
        <w:r w:rsidR="00AC5C83" w:rsidRPr="00AC5C83">
          <w:rPr>
            <w:webHidden/>
            <w:sz w:val="20"/>
          </w:rPr>
        </w:r>
        <w:r w:rsidR="00AC5C83" w:rsidRPr="00AC5C83">
          <w:rPr>
            <w:webHidden/>
            <w:sz w:val="20"/>
          </w:rPr>
          <w:fldChar w:fldCharType="separate"/>
        </w:r>
        <w:r w:rsidR="0021747B">
          <w:rPr>
            <w:webHidden/>
            <w:sz w:val="20"/>
          </w:rPr>
          <w:t>6</w:t>
        </w:r>
        <w:r w:rsidR="00AC5C83" w:rsidRPr="00AC5C83">
          <w:rPr>
            <w:webHidden/>
            <w:sz w:val="20"/>
          </w:rPr>
          <w:fldChar w:fldCharType="end"/>
        </w:r>
      </w:hyperlink>
    </w:p>
    <w:p w14:paraId="0A7F47BD" w14:textId="59B2FB24" w:rsidR="00CF11E1" w:rsidRPr="0067289E" w:rsidRDefault="00CF11E1" w:rsidP="00CF11E1">
      <w:pPr>
        <w:pStyle w:val="VAHIbody"/>
        <w:spacing w:before="240"/>
        <w:sectPr w:rsidR="00CF11E1" w:rsidRPr="0067289E" w:rsidSect="004367B3">
          <w:type w:val="continuous"/>
          <w:pgSz w:w="16838" w:h="11906" w:orient="landscape"/>
          <w:pgMar w:top="851" w:right="851" w:bottom="851" w:left="851" w:header="567" w:footer="510" w:gutter="0"/>
          <w:cols w:space="720"/>
          <w:docGrid w:linePitch="272"/>
        </w:sectPr>
      </w:pPr>
      <w:r w:rsidRPr="00AC5C83">
        <w:rPr>
          <w:rFonts w:eastAsia="Times New Roman"/>
        </w:rPr>
        <w:fldChar w:fldCharType="end"/>
      </w:r>
    </w:p>
    <w:p w14:paraId="4FEFCA9E" w14:textId="7F246FCC" w:rsidR="00BE2218" w:rsidRDefault="005A692E" w:rsidP="005A692E">
      <w:pPr>
        <w:pStyle w:val="VAHInumberlowerroman"/>
        <w:numPr>
          <w:ilvl w:val="0"/>
          <w:numId w:val="0"/>
        </w:numPr>
        <w:rPr>
          <w:rFonts w:eastAsia="MS Gothic" w:cs="Arial"/>
          <w:color w:val="004EA8"/>
          <w:kern w:val="32"/>
          <w:sz w:val="36"/>
          <w:szCs w:val="40"/>
        </w:rPr>
      </w:pPr>
      <w:r>
        <w:rPr>
          <w:noProof/>
        </w:rPr>
        <w:drawing>
          <wp:anchor distT="0" distB="0" distL="114300" distR="114300" simplePos="0" relativeHeight="251660288" behindDoc="0" locked="0" layoutInCell="1" allowOverlap="1" wp14:anchorId="33E1DAF9" wp14:editId="4DDD35BC">
            <wp:simplePos x="0" y="0"/>
            <wp:positionH relativeFrom="column">
              <wp:align>right</wp:align>
            </wp:positionH>
            <wp:positionV relativeFrom="margin">
              <wp:posOffset>5760720</wp:posOffset>
            </wp:positionV>
            <wp:extent cx="1173600" cy="687600"/>
            <wp:effectExtent l="0" t="0" r="762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2218">
        <w:br w:type="page"/>
      </w: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2268"/>
        <w:gridCol w:w="1518"/>
        <w:gridCol w:w="1519"/>
        <w:gridCol w:w="1519"/>
        <w:gridCol w:w="1518"/>
        <w:gridCol w:w="1519"/>
        <w:gridCol w:w="1519"/>
        <w:gridCol w:w="1519"/>
      </w:tblGrid>
      <w:tr w:rsidR="00DB17C1" w:rsidRPr="00A6366B" w14:paraId="2327D6AC" w14:textId="77777777" w:rsidTr="00DB17C1">
        <w:trPr>
          <w:trHeight w:val="1062"/>
          <w:tblHeader/>
        </w:trPr>
        <w:tc>
          <w:tcPr>
            <w:tcW w:w="2846" w:type="dxa"/>
            <w:gridSpan w:val="2"/>
            <w:shd w:val="clear" w:color="auto" w:fill="FFFFFF"/>
            <w:vAlign w:val="bottom"/>
          </w:tcPr>
          <w:p w14:paraId="3D3CE8A3" w14:textId="4980C697" w:rsidR="00DB17C1" w:rsidRPr="00592F37" w:rsidRDefault="00DB17C1" w:rsidP="00DB17C1">
            <w:pPr>
              <w:pStyle w:val="Heading1"/>
              <w:spacing w:before="0" w:line="240" w:lineRule="auto"/>
              <w:rPr>
                <w:color w:val="244C5A"/>
                <w:sz w:val="28"/>
                <w:szCs w:val="28"/>
              </w:rPr>
            </w:pPr>
            <w:bookmarkStart w:id="3" w:name="_Toc17978050"/>
            <w:bookmarkStart w:id="4" w:name="_Toc45898288"/>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w:t>
            </w:r>
            <w:r w:rsidR="00C304B4">
              <w:rPr>
                <w:color w:val="244C5A"/>
                <w:sz w:val="22"/>
                <w:szCs w:val="28"/>
              </w:rPr>
              <w:t>–</w:t>
            </w:r>
            <w:r>
              <w:rPr>
                <w:color w:val="244C5A"/>
                <w:sz w:val="22"/>
                <w:szCs w:val="28"/>
              </w:rPr>
              <w:t>20 Q</w:t>
            </w:r>
            <w:bookmarkEnd w:id="3"/>
            <w:r w:rsidR="00AC5C83">
              <w:rPr>
                <w:color w:val="244C5A"/>
                <w:sz w:val="22"/>
                <w:szCs w:val="28"/>
              </w:rPr>
              <w:t>4</w:t>
            </w:r>
            <w:bookmarkEnd w:id="4"/>
          </w:p>
        </w:tc>
        <w:tc>
          <w:tcPr>
            <w:tcW w:w="2268" w:type="dxa"/>
            <w:shd w:val="clear" w:color="auto" w:fill="FFFFFF"/>
          </w:tcPr>
          <w:p w14:paraId="2BE5AA64" w14:textId="77777777" w:rsidR="00DB17C1" w:rsidRPr="00C41C2E" w:rsidRDefault="00DB17C1" w:rsidP="00DB17C1">
            <w:pPr>
              <w:pStyle w:val="VAHItablecolhead"/>
              <w:jc w:val="left"/>
              <w:rPr>
                <w:sz w:val="16"/>
              </w:rPr>
            </w:pPr>
          </w:p>
        </w:tc>
        <w:tc>
          <w:tcPr>
            <w:tcW w:w="1518" w:type="dxa"/>
            <w:shd w:val="clear" w:color="auto" w:fill="FFFFFF"/>
            <w:vAlign w:val="bottom"/>
          </w:tcPr>
          <w:p w14:paraId="64B59BDD" w14:textId="631B707E" w:rsidR="00DB17C1" w:rsidRPr="00DB17C1" w:rsidRDefault="00DB17C1" w:rsidP="00DB17C1">
            <w:pPr>
              <w:pStyle w:val="VAHItablecolhead"/>
              <w:rPr>
                <w:rFonts w:eastAsia="Verdana"/>
                <w:color w:val="244C5A"/>
                <w:sz w:val="16"/>
              </w:rPr>
            </w:pPr>
            <w:r w:rsidRPr="00DB17C1">
              <w:rPr>
                <w:sz w:val="16"/>
              </w:rPr>
              <w:t>Beds per 10,000 population (metro)</w:t>
            </w:r>
          </w:p>
        </w:tc>
        <w:tc>
          <w:tcPr>
            <w:tcW w:w="1519" w:type="dxa"/>
            <w:shd w:val="clear" w:color="auto" w:fill="FFFFFF"/>
            <w:vAlign w:val="bottom"/>
          </w:tcPr>
          <w:p w14:paraId="262967A5" w14:textId="0DF161CD" w:rsidR="00DB17C1" w:rsidRPr="00DB17C1" w:rsidRDefault="00DB17C1" w:rsidP="00DB17C1">
            <w:pPr>
              <w:pStyle w:val="VAHItablecolhead"/>
              <w:rPr>
                <w:rFonts w:eastAsia="Verdana"/>
                <w:color w:val="244C5A"/>
                <w:sz w:val="16"/>
              </w:rPr>
            </w:pPr>
            <w:r w:rsidRPr="00DB17C1">
              <w:rPr>
                <w:sz w:val="16"/>
              </w:rPr>
              <w:t xml:space="preserve">Trimmed average length of stay </w:t>
            </w:r>
            <w:r>
              <w:rPr>
                <w:sz w:val="16"/>
              </w:rPr>
              <w:br w:type="textWrapping" w:clear="all"/>
            </w:r>
            <w:r w:rsidRPr="00DB17C1">
              <w:rPr>
                <w:sz w:val="16"/>
              </w:rPr>
              <w:t>(≤35 days)</w:t>
            </w:r>
          </w:p>
        </w:tc>
        <w:tc>
          <w:tcPr>
            <w:tcW w:w="1519" w:type="dxa"/>
            <w:shd w:val="clear" w:color="auto" w:fill="FFFFFF"/>
            <w:vAlign w:val="bottom"/>
          </w:tcPr>
          <w:p w14:paraId="1D79F02C" w14:textId="246AB4DC" w:rsidR="00DB17C1" w:rsidRPr="00DB17C1" w:rsidRDefault="00DB17C1" w:rsidP="00DB17C1">
            <w:pPr>
              <w:pStyle w:val="VAHItablecolhead"/>
              <w:rPr>
                <w:rFonts w:eastAsia="Verdana"/>
                <w:color w:val="244C5A"/>
                <w:sz w:val="16"/>
              </w:rPr>
            </w:pPr>
            <w:r w:rsidRPr="00DB17C1">
              <w:rPr>
                <w:sz w:val="16"/>
              </w:rPr>
              <w:t>Seclusions per 1,000 bed days</w:t>
            </w:r>
          </w:p>
        </w:tc>
        <w:tc>
          <w:tcPr>
            <w:tcW w:w="1518" w:type="dxa"/>
            <w:shd w:val="clear" w:color="auto" w:fill="FFFFFF"/>
            <w:vAlign w:val="bottom"/>
          </w:tcPr>
          <w:p w14:paraId="69FF898B" w14:textId="6A56C3F3" w:rsidR="00DB17C1" w:rsidRPr="00DB17C1" w:rsidRDefault="00DB17C1" w:rsidP="00DB17C1">
            <w:pPr>
              <w:pStyle w:val="VAHItablecolhead"/>
              <w:rPr>
                <w:rFonts w:eastAsia="Verdana"/>
                <w:color w:val="244C5A"/>
                <w:sz w:val="16"/>
              </w:rPr>
            </w:pPr>
            <w:r w:rsidRPr="00DB17C1">
              <w:rPr>
                <w:sz w:val="16"/>
              </w:rPr>
              <w:t xml:space="preserve">Self rated measures </w:t>
            </w:r>
            <w:r w:rsidR="0067289E">
              <w:rPr>
                <w:sz w:val="16"/>
              </w:rPr>
              <w:br w:type="textWrapping" w:clear="all"/>
            </w:r>
            <w:r w:rsidRPr="00DB17C1">
              <w:rPr>
                <w:sz w:val="16"/>
              </w:rPr>
              <w:t>offered</w:t>
            </w:r>
          </w:p>
        </w:tc>
        <w:tc>
          <w:tcPr>
            <w:tcW w:w="1519" w:type="dxa"/>
            <w:shd w:val="clear" w:color="auto" w:fill="FFFFFF"/>
            <w:vAlign w:val="bottom"/>
          </w:tcPr>
          <w:p w14:paraId="0B4C973B" w14:textId="5105E94B" w:rsidR="00DB17C1" w:rsidRPr="00DB17C1" w:rsidRDefault="00DB17C1" w:rsidP="00DB17C1">
            <w:pPr>
              <w:pStyle w:val="VAHItablecolhead"/>
              <w:rPr>
                <w:rFonts w:eastAsia="Verdana"/>
                <w:color w:val="244C5A"/>
                <w:sz w:val="16"/>
              </w:rPr>
            </w:pPr>
            <w:r w:rsidRPr="00DB17C1">
              <w:rPr>
                <w:sz w:val="16"/>
              </w:rPr>
              <w:t>Self rated measures completed</w:t>
            </w:r>
          </w:p>
        </w:tc>
        <w:tc>
          <w:tcPr>
            <w:tcW w:w="1519" w:type="dxa"/>
            <w:shd w:val="clear" w:color="auto" w:fill="FFFFFF"/>
            <w:vAlign w:val="bottom"/>
          </w:tcPr>
          <w:p w14:paraId="14525DF8" w14:textId="09A244EF" w:rsidR="00DB17C1" w:rsidRPr="00DB17C1" w:rsidRDefault="00DB17C1" w:rsidP="00DB17C1">
            <w:pPr>
              <w:pStyle w:val="VAHItablecolhead"/>
              <w:rPr>
                <w:rFonts w:eastAsia="Verdana"/>
                <w:color w:val="244C5A"/>
                <w:sz w:val="16"/>
              </w:rPr>
            </w:pPr>
            <w:r w:rsidRPr="00DB17C1">
              <w:rPr>
                <w:sz w:val="16"/>
              </w:rPr>
              <w:t xml:space="preserve">HoNOS </w:t>
            </w:r>
            <w:r>
              <w:rPr>
                <w:sz w:val="16"/>
              </w:rPr>
              <w:br w:type="textWrapping" w:clear="all"/>
            </w:r>
            <w:r w:rsidRPr="00DB17C1">
              <w:rPr>
                <w:sz w:val="16"/>
              </w:rPr>
              <w:t>compliance</w:t>
            </w:r>
          </w:p>
        </w:tc>
        <w:tc>
          <w:tcPr>
            <w:tcW w:w="1519" w:type="dxa"/>
            <w:shd w:val="clear" w:color="auto" w:fill="FFFFFF"/>
            <w:vAlign w:val="bottom"/>
          </w:tcPr>
          <w:p w14:paraId="36EBBB07" w14:textId="4A3805B5" w:rsidR="00DB17C1" w:rsidRPr="00DB17C1" w:rsidRDefault="00DB17C1" w:rsidP="00DB17C1">
            <w:pPr>
              <w:pStyle w:val="VAHItablecolhead"/>
              <w:rPr>
                <w:rFonts w:eastAsia="Verdana"/>
                <w:color w:val="244C5A"/>
                <w:sz w:val="16"/>
              </w:rPr>
            </w:pPr>
            <w:r w:rsidRPr="00DB17C1">
              <w:rPr>
                <w:sz w:val="16"/>
              </w:rPr>
              <w:t>Average HoNOS at episode start</w:t>
            </w:r>
          </w:p>
        </w:tc>
      </w:tr>
      <w:tr w:rsidR="00AC5C83" w:rsidRPr="00BF031D" w14:paraId="2B8AB1A0" w14:textId="77777777" w:rsidTr="00DB17C1">
        <w:trPr>
          <w:trHeight w:val="454"/>
        </w:trPr>
        <w:tc>
          <w:tcPr>
            <w:tcW w:w="1145" w:type="dxa"/>
            <w:vMerge w:val="restart"/>
            <w:shd w:val="clear" w:color="auto" w:fill="BFCED6"/>
          </w:tcPr>
          <w:p w14:paraId="4A634D64" w14:textId="5AE29086" w:rsidR="00AC5C83" w:rsidRPr="00BF031D" w:rsidRDefault="00AC5C83" w:rsidP="00AC5C83">
            <w:pPr>
              <w:pStyle w:val="DHHStabletext"/>
              <w:spacing w:before="0" w:after="0"/>
              <w:rPr>
                <w:rFonts w:ascii="VIC" w:eastAsia="Verdana" w:hAnsi="VIC" w:cs="Verdana"/>
                <w:sz w:val="18"/>
                <w:szCs w:val="18"/>
              </w:rPr>
            </w:pPr>
            <w:bookmarkStart w:id="5" w:name="_Hlk15473260"/>
            <w:r w:rsidRPr="001E2423">
              <w:rPr>
                <w:rFonts w:ascii="VIC" w:eastAsia="Verdana" w:hAnsi="VIC"/>
                <w:color w:val="000000"/>
                <w:sz w:val="18"/>
                <w:szCs w:val="18"/>
              </w:rPr>
              <w:t>Adolescent Units</w:t>
            </w:r>
          </w:p>
        </w:tc>
        <w:tc>
          <w:tcPr>
            <w:tcW w:w="1701" w:type="dxa"/>
            <w:shd w:val="clear" w:color="auto" w:fill="BFCED6"/>
          </w:tcPr>
          <w:p w14:paraId="5E9CC50D" w14:textId="6B47B2D8"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Austin Health</w:t>
            </w:r>
          </w:p>
        </w:tc>
        <w:tc>
          <w:tcPr>
            <w:tcW w:w="2268" w:type="dxa"/>
            <w:shd w:val="clear" w:color="auto" w:fill="BFCED6"/>
          </w:tcPr>
          <w:p w14:paraId="7232D681" w14:textId="2ECEBA49" w:rsidR="00AC5C83" w:rsidRPr="00BF031D" w:rsidRDefault="00AC5C83" w:rsidP="00AC5C83">
            <w:pPr>
              <w:rPr>
                <w:rFonts w:ascii="VIC" w:hAnsi="VIC"/>
                <w:sz w:val="18"/>
                <w:szCs w:val="18"/>
              </w:rPr>
            </w:pPr>
            <w:r w:rsidRPr="001E2423">
              <w:rPr>
                <w:rFonts w:ascii="VIC" w:eastAsia="Verdana" w:hAnsi="VIC"/>
                <w:color w:val="000000"/>
                <w:sz w:val="18"/>
                <w:szCs w:val="18"/>
              </w:rPr>
              <w:t>North East (Austin)</w:t>
            </w:r>
          </w:p>
        </w:tc>
        <w:tc>
          <w:tcPr>
            <w:tcW w:w="1518" w:type="dxa"/>
            <w:shd w:val="clear" w:color="auto" w:fill="BFCED6"/>
          </w:tcPr>
          <w:p w14:paraId="3F4067C1" w14:textId="1BED9A2E" w:rsidR="00AC5C83" w:rsidRPr="00BF031D" w:rsidRDefault="00AC5C83" w:rsidP="00AC5C83">
            <w:pPr>
              <w:jc w:val="center"/>
              <w:rPr>
                <w:rFonts w:ascii="VIC" w:hAnsi="VIC"/>
                <w:sz w:val="18"/>
                <w:szCs w:val="18"/>
              </w:rPr>
            </w:pPr>
            <w:r w:rsidRPr="001E2423">
              <w:rPr>
                <w:rFonts w:ascii="VIC" w:eastAsia="Verdana" w:hAnsi="VIC"/>
                <w:color w:val="000000"/>
                <w:sz w:val="18"/>
                <w:szCs w:val="18"/>
              </w:rPr>
              <w:t>2.3</w:t>
            </w:r>
          </w:p>
        </w:tc>
        <w:tc>
          <w:tcPr>
            <w:tcW w:w="1519" w:type="dxa"/>
            <w:shd w:val="clear" w:color="auto" w:fill="BFCED6"/>
          </w:tcPr>
          <w:p w14:paraId="24D91D66" w14:textId="1A6C294F" w:rsidR="00AC5C83" w:rsidRPr="00BF031D" w:rsidRDefault="00AC5C83" w:rsidP="00AC5C83">
            <w:pPr>
              <w:jc w:val="center"/>
              <w:rPr>
                <w:rFonts w:ascii="VIC" w:hAnsi="VIC"/>
                <w:sz w:val="18"/>
                <w:szCs w:val="18"/>
              </w:rPr>
            </w:pPr>
            <w:r w:rsidRPr="001E2423">
              <w:rPr>
                <w:rFonts w:ascii="VIC" w:eastAsia="Verdana" w:hAnsi="VIC"/>
                <w:color w:val="000000"/>
                <w:sz w:val="18"/>
                <w:szCs w:val="18"/>
              </w:rPr>
              <w:t>8.9</w:t>
            </w:r>
          </w:p>
        </w:tc>
        <w:tc>
          <w:tcPr>
            <w:tcW w:w="1519" w:type="dxa"/>
            <w:shd w:val="clear" w:color="auto" w:fill="BFCED6"/>
          </w:tcPr>
          <w:p w14:paraId="38499411" w14:textId="470CCA22" w:rsidR="00AC5C83" w:rsidRPr="00BF031D" w:rsidRDefault="00AC5C83" w:rsidP="00AC5C83">
            <w:pPr>
              <w:jc w:val="center"/>
              <w:rPr>
                <w:rFonts w:ascii="VIC" w:hAnsi="VIC"/>
                <w:sz w:val="18"/>
                <w:szCs w:val="18"/>
              </w:rPr>
            </w:pPr>
            <w:r w:rsidRPr="001E2423">
              <w:rPr>
                <w:rFonts w:ascii="VIC" w:eastAsia="Verdana" w:hAnsi="VIC"/>
                <w:color w:val="000000"/>
                <w:sz w:val="18"/>
                <w:szCs w:val="18"/>
              </w:rPr>
              <w:t>62.8</w:t>
            </w:r>
          </w:p>
        </w:tc>
        <w:tc>
          <w:tcPr>
            <w:tcW w:w="1518" w:type="dxa"/>
            <w:shd w:val="clear" w:color="auto" w:fill="BFCED6"/>
          </w:tcPr>
          <w:p w14:paraId="79C22AFC" w14:textId="0A195455" w:rsidR="00AC5C83" w:rsidRPr="00BF031D" w:rsidRDefault="00AC5C83" w:rsidP="00AC5C83">
            <w:pPr>
              <w:jc w:val="center"/>
              <w:rPr>
                <w:rFonts w:ascii="VIC" w:hAnsi="VIC"/>
                <w:sz w:val="18"/>
                <w:szCs w:val="18"/>
              </w:rPr>
            </w:pPr>
            <w:r w:rsidRPr="001E2423">
              <w:rPr>
                <w:rFonts w:ascii="VIC" w:eastAsia="Verdana" w:hAnsi="VIC"/>
                <w:color w:val="000000"/>
                <w:sz w:val="18"/>
                <w:szCs w:val="18"/>
              </w:rPr>
              <w:t>76 %</w:t>
            </w:r>
          </w:p>
        </w:tc>
        <w:tc>
          <w:tcPr>
            <w:tcW w:w="1519" w:type="dxa"/>
            <w:shd w:val="clear" w:color="auto" w:fill="BFCED6"/>
          </w:tcPr>
          <w:p w14:paraId="28F80B72" w14:textId="050A8DD1" w:rsidR="00AC5C83" w:rsidRPr="00BF031D" w:rsidRDefault="00AC5C83" w:rsidP="00AC5C83">
            <w:pPr>
              <w:jc w:val="center"/>
              <w:rPr>
                <w:rFonts w:ascii="VIC" w:hAnsi="VIC"/>
                <w:sz w:val="18"/>
                <w:szCs w:val="18"/>
              </w:rPr>
            </w:pPr>
            <w:r w:rsidRPr="001E2423">
              <w:rPr>
                <w:rFonts w:ascii="VIC" w:eastAsia="Verdana" w:hAnsi="VIC"/>
                <w:color w:val="000000"/>
                <w:sz w:val="18"/>
                <w:szCs w:val="18"/>
              </w:rPr>
              <w:t>73 %</w:t>
            </w:r>
          </w:p>
        </w:tc>
        <w:tc>
          <w:tcPr>
            <w:tcW w:w="1519" w:type="dxa"/>
            <w:shd w:val="clear" w:color="auto" w:fill="BFCED6"/>
          </w:tcPr>
          <w:p w14:paraId="4EDBDEAB" w14:textId="72570853" w:rsidR="00AC5C83" w:rsidRPr="00BF031D" w:rsidRDefault="00AC5C83" w:rsidP="00AC5C83">
            <w:pPr>
              <w:jc w:val="center"/>
              <w:rPr>
                <w:rFonts w:ascii="VIC" w:hAnsi="VIC"/>
                <w:sz w:val="18"/>
                <w:szCs w:val="18"/>
              </w:rPr>
            </w:pPr>
            <w:r w:rsidRPr="001E2423">
              <w:rPr>
                <w:rFonts w:ascii="VIC" w:eastAsia="Verdana" w:hAnsi="VIC"/>
                <w:color w:val="000000"/>
                <w:sz w:val="18"/>
                <w:szCs w:val="18"/>
              </w:rPr>
              <w:t>74 %</w:t>
            </w:r>
          </w:p>
        </w:tc>
        <w:tc>
          <w:tcPr>
            <w:tcW w:w="1519" w:type="dxa"/>
            <w:shd w:val="clear" w:color="auto" w:fill="BFCED6"/>
          </w:tcPr>
          <w:p w14:paraId="63FA202F" w14:textId="36E2730A" w:rsidR="00AC5C83" w:rsidRPr="00BF031D" w:rsidRDefault="00AC5C83" w:rsidP="00AC5C83">
            <w:pPr>
              <w:jc w:val="center"/>
              <w:rPr>
                <w:rFonts w:ascii="VIC" w:hAnsi="VIC"/>
                <w:sz w:val="18"/>
                <w:szCs w:val="18"/>
              </w:rPr>
            </w:pPr>
            <w:r w:rsidRPr="001E2423">
              <w:rPr>
                <w:rFonts w:ascii="VIC" w:eastAsia="Verdana" w:hAnsi="VIC"/>
                <w:color w:val="000000"/>
                <w:sz w:val="18"/>
                <w:szCs w:val="18"/>
              </w:rPr>
              <w:t>16.4</w:t>
            </w:r>
          </w:p>
        </w:tc>
      </w:tr>
      <w:bookmarkEnd w:id="5"/>
      <w:tr w:rsidR="00AC5C83" w:rsidRPr="00BF031D" w14:paraId="481AF9A0" w14:textId="77777777" w:rsidTr="00DB17C1">
        <w:trPr>
          <w:trHeight w:val="454"/>
        </w:trPr>
        <w:tc>
          <w:tcPr>
            <w:tcW w:w="1145" w:type="dxa"/>
            <w:vMerge/>
            <w:shd w:val="clear" w:color="auto" w:fill="auto"/>
          </w:tcPr>
          <w:p w14:paraId="39FC667B" w14:textId="2A083BAB" w:rsidR="00AC5C83" w:rsidRPr="00BF031D" w:rsidRDefault="00AC5C83" w:rsidP="00AC5C83">
            <w:pPr>
              <w:pStyle w:val="DHHStabletext"/>
              <w:spacing w:before="0" w:after="0"/>
              <w:rPr>
                <w:rFonts w:ascii="VIC" w:eastAsia="Verdana" w:hAnsi="VIC" w:cs="Verdana"/>
                <w:sz w:val="18"/>
                <w:szCs w:val="18"/>
              </w:rPr>
            </w:pPr>
          </w:p>
        </w:tc>
        <w:tc>
          <w:tcPr>
            <w:tcW w:w="1701" w:type="dxa"/>
            <w:shd w:val="clear" w:color="auto" w:fill="auto"/>
          </w:tcPr>
          <w:p w14:paraId="22F43DF3" w14:textId="2560E692"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Eastern Health</w:t>
            </w:r>
          </w:p>
        </w:tc>
        <w:tc>
          <w:tcPr>
            <w:tcW w:w="2268" w:type="dxa"/>
          </w:tcPr>
          <w:p w14:paraId="1E686418" w14:textId="16570A72" w:rsidR="00AC5C83" w:rsidRPr="00BF031D" w:rsidRDefault="00AC5C83" w:rsidP="00AC5C83">
            <w:pPr>
              <w:rPr>
                <w:rFonts w:ascii="VIC" w:hAnsi="VIC"/>
                <w:sz w:val="18"/>
                <w:szCs w:val="18"/>
              </w:rPr>
            </w:pPr>
            <w:r w:rsidRPr="001E2423">
              <w:rPr>
                <w:rFonts w:ascii="VIC" w:eastAsia="Verdana" w:hAnsi="VIC"/>
                <w:color w:val="000000"/>
                <w:sz w:val="18"/>
                <w:szCs w:val="18"/>
              </w:rPr>
              <w:t>Eastern CYMHS</w:t>
            </w:r>
          </w:p>
        </w:tc>
        <w:tc>
          <w:tcPr>
            <w:tcW w:w="1518" w:type="dxa"/>
            <w:shd w:val="clear" w:color="auto" w:fill="auto"/>
          </w:tcPr>
          <w:p w14:paraId="0EF94EC6" w14:textId="257D4694" w:rsidR="00AC5C83" w:rsidRPr="00BF031D" w:rsidRDefault="00AC5C83" w:rsidP="00AC5C83">
            <w:pPr>
              <w:jc w:val="center"/>
              <w:rPr>
                <w:rFonts w:ascii="VIC" w:hAnsi="VIC"/>
                <w:sz w:val="18"/>
                <w:szCs w:val="18"/>
              </w:rPr>
            </w:pPr>
            <w:r w:rsidRPr="001E2423">
              <w:rPr>
                <w:rFonts w:ascii="VIC" w:eastAsia="Verdana" w:hAnsi="VIC"/>
                <w:color w:val="000000"/>
                <w:sz w:val="18"/>
                <w:szCs w:val="18"/>
              </w:rPr>
              <w:t>2.3</w:t>
            </w:r>
          </w:p>
        </w:tc>
        <w:tc>
          <w:tcPr>
            <w:tcW w:w="1519" w:type="dxa"/>
            <w:shd w:val="clear" w:color="auto" w:fill="auto"/>
          </w:tcPr>
          <w:p w14:paraId="0D4FBDF3" w14:textId="4ADB6791" w:rsidR="00AC5C83" w:rsidRPr="00BF031D" w:rsidRDefault="00AC5C83" w:rsidP="00AC5C83">
            <w:pPr>
              <w:jc w:val="center"/>
              <w:rPr>
                <w:rFonts w:ascii="VIC" w:hAnsi="VIC"/>
                <w:sz w:val="18"/>
                <w:szCs w:val="18"/>
              </w:rPr>
            </w:pPr>
            <w:r w:rsidRPr="001E2423">
              <w:rPr>
                <w:rFonts w:ascii="VIC" w:eastAsia="Verdana" w:hAnsi="VIC"/>
                <w:color w:val="000000"/>
                <w:sz w:val="18"/>
                <w:szCs w:val="18"/>
              </w:rPr>
              <w:t>4.0</w:t>
            </w:r>
          </w:p>
        </w:tc>
        <w:tc>
          <w:tcPr>
            <w:tcW w:w="1519" w:type="dxa"/>
            <w:shd w:val="clear" w:color="auto" w:fill="auto"/>
          </w:tcPr>
          <w:p w14:paraId="4736D9B6" w14:textId="30F4B3C7" w:rsidR="00AC5C83" w:rsidRPr="00BF031D" w:rsidRDefault="00AC5C83" w:rsidP="00AC5C83">
            <w:pPr>
              <w:jc w:val="center"/>
              <w:rPr>
                <w:rFonts w:ascii="VIC" w:hAnsi="VIC"/>
                <w:sz w:val="18"/>
                <w:szCs w:val="18"/>
              </w:rPr>
            </w:pPr>
            <w:r w:rsidRPr="001E2423">
              <w:rPr>
                <w:rFonts w:ascii="VIC" w:eastAsia="Verdana" w:hAnsi="VIC"/>
                <w:color w:val="000000"/>
                <w:sz w:val="18"/>
                <w:szCs w:val="18"/>
              </w:rPr>
              <w:t>22.7</w:t>
            </w:r>
          </w:p>
        </w:tc>
        <w:tc>
          <w:tcPr>
            <w:tcW w:w="1518" w:type="dxa"/>
            <w:shd w:val="clear" w:color="auto" w:fill="auto"/>
          </w:tcPr>
          <w:p w14:paraId="1E4AEB11" w14:textId="6FE144E1" w:rsidR="00AC5C83" w:rsidRPr="00BF031D" w:rsidRDefault="00AC5C83" w:rsidP="00AC5C83">
            <w:pPr>
              <w:jc w:val="center"/>
              <w:rPr>
                <w:rFonts w:ascii="VIC" w:hAnsi="VIC"/>
                <w:sz w:val="18"/>
                <w:szCs w:val="18"/>
              </w:rPr>
            </w:pPr>
            <w:r w:rsidRPr="001E2423">
              <w:rPr>
                <w:rFonts w:ascii="VIC" w:eastAsia="Verdana" w:hAnsi="VIC"/>
                <w:color w:val="000000"/>
                <w:sz w:val="18"/>
                <w:szCs w:val="18"/>
              </w:rPr>
              <w:t>77 %</w:t>
            </w:r>
          </w:p>
        </w:tc>
        <w:tc>
          <w:tcPr>
            <w:tcW w:w="1519" w:type="dxa"/>
            <w:shd w:val="clear" w:color="auto" w:fill="auto"/>
          </w:tcPr>
          <w:p w14:paraId="3B28BDBF" w14:textId="4DC4A9F4" w:rsidR="00AC5C83" w:rsidRPr="00BF031D" w:rsidRDefault="00AC5C83" w:rsidP="00AC5C83">
            <w:pPr>
              <w:jc w:val="center"/>
              <w:rPr>
                <w:rFonts w:ascii="VIC" w:hAnsi="VIC"/>
                <w:sz w:val="18"/>
                <w:szCs w:val="18"/>
              </w:rPr>
            </w:pPr>
            <w:r w:rsidRPr="001E2423">
              <w:rPr>
                <w:rFonts w:ascii="VIC" w:eastAsia="Verdana" w:hAnsi="VIC"/>
                <w:color w:val="000000"/>
                <w:sz w:val="18"/>
                <w:szCs w:val="18"/>
              </w:rPr>
              <w:t>55 %</w:t>
            </w:r>
          </w:p>
        </w:tc>
        <w:tc>
          <w:tcPr>
            <w:tcW w:w="1519" w:type="dxa"/>
            <w:shd w:val="clear" w:color="auto" w:fill="auto"/>
          </w:tcPr>
          <w:p w14:paraId="250428AC" w14:textId="2B88F600" w:rsidR="00AC5C83" w:rsidRPr="00BF031D" w:rsidRDefault="00AC5C83" w:rsidP="00AC5C83">
            <w:pPr>
              <w:jc w:val="center"/>
              <w:rPr>
                <w:rFonts w:ascii="VIC" w:hAnsi="VIC"/>
                <w:sz w:val="18"/>
                <w:szCs w:val="18"/>
              </w:rPr>
            </w:pPr>
            <w:r w:rsidRPr="001E2423">
              <w:rPr>
                <w:rFonts w:ascii="VIC" w:eastAsia="Verdana" w:hAnsi="VIC"/>
                <w:color w:val="000000"/>
                <w:sz w:val="18"/>
                <w:szCs w:val="18"/>
              </w:rPr>
              <w:t>95 %</w:t>
            </w:r>
          </w:p>
        </w:tc>
        <w:tc>
          <w:tcPr>
            <w:tcW w:w="1519" w:type="dxa"/>
            <w:shd w:val="clear" w:color="auto" w:fill="auto"/>
          </w:tcPr>
          <w:p w14:paraId="2B99119F" w14:textId="2AED7F08" w:rsidR="00AC5C83" w:rsidRPr="00BF031D" w:rsidRDefault="00AC5C83" w:rsidP="00AC5C83">
            <w:pPr>
              <w:jc w:val="center"/>
              <w:rPr>
                <w:rFonts w:ascii="VIC" w:hAnsi="VIC"/>
                <w:sz w:val="18"/>
                <w:szCs w:val="18"/>
              </w:rPr>
            </w:pPr>
            <w:r w:rsidRPr="001E2423">
              <w:rPr>
                <w:rFonts w:ascii="VIC" w:eastAsia="Verdana" w:hAnsi="VIC"/>
                <w:color w:val="000000"/>
                <w:sz w:val="18"/>
                <w:szCs w:val="18"/>
              </w:rPr>
              <w:t>18.1</w:t>
            </w:r>
          </w:p>
        </w:tc>
      </w:tr>
      <w:tr w:rsidR="00AC5C83" w:rsidRPr="00BF031D" w14:paraId="4B0AC430" w14:textId="77777777" w:rsidTr="00DB17C1">
        <w:trPr>
          <w:trHeight w:val="454"/>
        </w:trPr>
        <w:tc>
          <w:tcPr>
            <w:tcW w:w="1145" w:type="dxa"/>
            <w:vMerge/>
            <w:shd w:val="clear" w:color="auto" w:fill="auto"/>
          </w:tcPr>
          <w:p w14:paraId="6938409E" w14:textId="77777777" w:rsidR="00AC5C83" w:rsidRPr="00BF031D" w:rsidRDefault="00AC5C83" w:rsidP="00AC5C83">
            <w:pPr>
              <w:pStyle w:val="DHHStabletext"/>
              <w:spacing w:before="0" w:after="0"/>
              <w:rPr>
                <w:rFonts w:ascii="VIC" w:eastAsia="Verdana" w:hAnsi="VIC" w:cs="Verdana"/>
                <w:sz w:val="18"/>
                <w:szCs w:val="18"/>
              </w:rPr>
            </w:pPr>
          </w:p>
        </w:tc>
        <w:tc>
          <w:tcPr>
            <w:tcW w:w="1701" w:type="dxa"/>
            <w:shd w:val="clear" w:color="auto" w:fill="BFCED6"/>
          </w:tcPr>
          <w:p w14:paraId="2E13D33A" w14:textId="5019B1A3"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Monash Health</w:t>
            </w:r>
          </w:p>
        </w:tc>
        <w:tc>
          <w:tcPr>
            <w:tcW w:w="2268" w:type="dxa"/>
            <w:shd w:val="clear" w:color="auto" w:fill="BFCED6"/>
          </w:tcPr>
          <w:p w14:paraId="499B2C24" w14:textId="6C895CE9" w:rsidR="00AC5C83" w:rsidRPr="00BF031D" w:rsidRDefault="00AC5C83" w:rsidP="00AC5C83">
            <w:pPr>
              <w:rPr>
                <w:rFonts w:ascii="VIC" w:hAnsi="VIC"/>
                <w:sz w:val="18"/>
                <w:szCs w:val="18"/>
              </w:rPr>
            </w:pPr>
            <w:r w:rsidRPr="001E2423">
              <w:rPr>
                <w:rFonts w:ascii="VIC" w:eastAsia="Verdana" w:hAnsi="VIC"/>
                <w:color w:val="000000"/>
                <w:sz w:val="18"/>
                <w:szCs w:val="18"/>
              </w:rPr>
              <w:t>South Eastern (Monash CAMHS)</w:t>
            </w:r>
          </w:p>
        </w:tc>
        <w:tc>
          <w:tcPr>
            <w:tcW w:w="1518" w:type="dxa"/>
            <w:shd w:val="clear" w:color="auto" w:fill="BFCED6"/>
          </w:tcPr>
          <w:p w14:paraId="60F93346" w14:textId="58484BEE" w:rsidR="00AC5C83" w:rsidRPr="00BF031D" w:rsidRDefault="00AC5C83" w:rsidP="00AC5C83">
            <w:pPr>
              <w:jc w:val="center"/>
              <w:rPr>
                <w:rFonts w:ascii="VIC" w:hAnsi="VIC"/>
                <w:sz w:val="18"/>
                <w:szCs w:val="18"/>
              </w:rPr>
            </w:pPr>
            <w:r w:rsidRPr="001E2423">
              <w:rPr>
                <w:rFonts w:ascii="VIC" w:eastAsia="Verdana" w:hAnsi="VIC"/>
                <w:color w:val="000000"/>
                <w:sz w:val="18"/>
                <w:szCs w:val="18"/>
              </w:rPr>
              <w:t>1.6</w:t>
            </w:r>
          </w:p>
        </w:tc>
        <w:tc>
          <w:tcPr>
            <w:tcW w:w="1519" w:type="dxa"/>
            <w:shd w:val="clear" w:color="auto" w:fill="BFCED6"/>
          </w:tcPr>
          <w:p w14:paraId="5330E83C" w14:textId="554CA8D1" w:rsidR="00AC5C83" w:rsidRPr="00BF031D" w:rsidRDefault="00AC5C83" w:rsidP="00AC5C83">
            <w:pPr>
              <w:jc w:val="center"/>
              <w:rPr>
                <w:rFonts w:ascii="VIC" w:hAnsi="VIC"/>
                <w:sz w:val="18"/>
                <w:szCs w:val="18"/>
              </w:rPr>
            </w:pPr>
            <w:r w:rsidRPr="001E2423">
              <w:rPr>
                <w:rFonts w:ascii="VIC" w:eastAsia="Verdana" w:hAnsi="VIC"/>
                <w:color w:val="000000"/>
                <w:sz w:val="18"/>
                <w:szCs w:val="18"/>
              </w:rPr>
              <w:t>6.6</w:t>
            </w:r>
          </w:p>
        </w:tc>
        <w:tc>
          <w:tcPr>
            <w:tcW w:w="1519" w:type="dxa"/>
            <w:shd w:val="clear" w:color="auto" w:fill="BFCED6"/>
          </w:tcPr>
          <w:p w14:paraId="164A1D8A" w14:textId="70CD0383" w:rsidR="00AC5C83" w:rsidRPr="00BF031D" w:rsidRDefault="00AC5C83" w:rsidP="00AC5C83">
            <w:pPr>
              <w:jc w:val="center"/>
              <w:rPr>
                <w:rFonts w:ascii="VIC" w:hAnsi="VIC"/>
                <w:sz w:val="18"/>
                <w:szCs w:val="18"/>
              </w:rPr>
            </w:pPr>
            <w:r w:rsidRPr="001E2423">
              <w:rPr>
                <w:rFonts w:ascii="VIC" w:eastAsia="Verdana" w:hAnsi="VIC"/>
                <w:color w:val="000000"/>
                <w:sz w:val="18"/>
                <w:szCs w:val="18"/>
              </w:rPr>
              <w:t>34.2</w:t>
            </w:r>
          </w:p>
        </w:tc>
        <w:tc>
          <w:tcPr>
            <w:tcW w:w="1518" w:type="dxa"/>
            <w:shd w:val="clear" w:color="auto" w:fill="BFCED6"/>
          </w:tcPr>
          <w:p w14:paraId="345C0582" w14:textId="75202C40" w:rsidR="00AC5C83" w:rsidRPr="00BF031D" w:rsidRDefault="00AC5C83" w:rsidP="00AC5C83">
            <w:pPr>
              <w:jc w:val="center"/>
              <w:rPr>
                <w:rFonts w:ascii="VIC" w:hAnsi="VIC"/>
                <w:sz w:val="18"/>
                <w:szCs w:val="18"/>
              </w:rPr>
            </w:pPr>
            <w:r w:rsidRPr="001E2423">
              <w:rPr>
                <w:rFonts w:ascii="VIC" w:eastAsia="Verdana" w:hAnsi="VIC"/>
                <w:color w:val="000000"/>
                <w:sz w:val="18"/>
                <w:szCs w:val="18"/>
              </w:rPr>
              <w:t>39 %</w:t>
            </w:r>
          </w:p>
        </w:tc>
        <w:tc>
          <w:tcPr>
            <w:tcW w:w="1519" w:type="dxa"/>
            <w:shd w:val="clear" w:color="auto" w:fill="BFCED6"/>
          </w:tcPr>
          <w:p w14:paraId="494C25EA" w14:textId="57EBB5EB" w:rsidR="00AC5C83" w:rsidRPr="00BF031D" w:rsidRDefault="00AC5C83" w:rsidP="00AC5C83">
            <w:pPr>
              <w:jc w:val="center"/>
              <w:rPr>
                <w:rFonts w:ascii="VIC" w:hAnsi="VIC"/>
                <w:sz w:val="18"/>
                <w:szCs w:val="18"/>
              </w:rPr>
            </w:pPr>
            <w:r w:rsidRPr="001E2423">
              <w:rPr>
                <w:rFonts w:ascii="VIC" w:eastAsia="Verdana" w:hAnsi="VIC"/>
                <w:color w:val="000000"/>
                <w:sz w:val="18"/>
                <w:szCs w:val="18"/>
              </w:rPr>
              <w:t>39 %</w:t>
            </w:r>
          </w:p>
        </w:tc>
        <w:tc>
          <w:tcPr>
            <w:tcW w:w="1519" w:type="dxa"/>
            <w:shd w:val="clear" w:color="auto" w:fill="BFCED6"/>
          </w:tcPr>
          <w:p w14:paraId="09576C1C" w14:textId="36B4A86D" w:rsidR="00AC5C83" w:rsidRPr="00BF031D" w:rsidRDefault="00AC5C83" w:rsidP="00AC5C83">
            <w:pPr>
              <w:jc w:val="center"/>
              <w:rPr>
                <w:rFonts w:ascii="VIC" w:hAnsi="VIC"/>
                <w:sz w:val="18"/>
                <w:szCs w:val="18"/>
              </w:rPr>
            </w:pPr>
            <w:r w:rsidRPr="001E2423">
              <w:rPr>
                <w:rFonts w:ascii="VIC" w:eastAsia="Verdana" w:hAnsi="VIC"/>
                <w:color w:val="000000"/>
                <w:sz w:val="18"/>
                <w:szCs w:val="18"/>
              </w:rPr>
              <w:t>98 %</w:t>
            </w:r>
          </w:p>
        </w:tc>
        <w:tc>
          <w:tcPr>
            <w:tcW w:w="1519" w:type="dxa"/>
            <w:shd w:val="clear" w:color="auto" w:fill="BFCED6"/>
          </w:tcPr>
          <w:p w14:paraId="79DB2970" w14:textId="755DD7AF" w:rsidR="00AC5C83" w:rsidRPr="00BF031D" w:rsidRDefault="00AC5C83" w:rsidP="00AC5C83">
            <w:pPr>
              <w:jc w:val="center"/>
              <w:rPr>
                <w:rFonts w:ascii="VIC" w:hAnsi="VIC"/>
                <w:sz w:val="18"/>
                <w:szCs w:val="18"/>
              </w:rPr>
            </w:pPr>
            <w:r w:rsidRPr="001E2423">
              <w:rPr>
                <w:rFonts w:ascii="VIC" w:eastAsia="Verdana" w:hAnsi="VIC"/>
                <w:color w:val="000000"/>
                <w:sz w:val="18"/>
                <w:szCs w:val="18"/>
              </w:rPr>
              <w:t>20.2</w:t>
            </w:r>
          </w:p>
        </w:tc>
      </w:tr>
      <w:tr w:rsidR="00AC5C83" w:rsidRPr="00BF031D" w14:paraId="3E5485D7" w14:textId="77777777" w:rsidTr="00DB17C1">
        <w:trPr>
          <w:trHeight w:val="454"/>
        </w:trPr>
        <w:tc>
          <w:tcPr>
            <w:tcW w:w="1145" w:type="dxa"/>
            <w:vMerge/>
            <w:shd w:val="clear" w:color="auto" w:fill="auto"/>
          </w:tcPr>
          <w:p w14:paraId="7F6B6344" w14:textId="77777777" w:rsidR="00AC5C83" w:rsidRPr="00BF031D" w:rsidRDefault="00AC5C83" w:rsidP="00AC5C83">
            <w:pPr>
              <w:pStyle w:val="DHHStabletext"/>
              <w:spacing w:before="0" w:after="0"/>
              <w:rPr>
                <w:rFonts w:ascii="VIC" w:eastAsia="Verdana" w:hAnsi="VIC" w:cs="Verdana"/>
                <w:sz w:val="18"/>
                <w:szCs w:val="18"/>
              </w:rPr>
            </w:pPr>
          </w:p>
        </w:tc>
        <w:tc>
          <w:tcPr>
            <w:tcW w:w="1701" w:type="dxa"/>
            <w:shd w:val="clear" w:color="auto" w:fill="auto"/>
          </w:tcPr>
          <w:p w14:paraId="55CC2B47" w14:textId="21D62D37"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Royal Children's</w:t>
            </w:r>
          </w:p>
        </w:tc>
        <w:tc>
          <w:tcPr>
            <w:tcW w:w="2268" w:type="dxa"/>
          </w:tcPr>
          <w:p w14:paraId="14A51B23" w14:textId="53913D44" w:rsidR="00AC5C83" w:rsidRPr="00BF031D" w:rsidRDefault="00AC5C83" w:rsidP="00AC5C83">
            <w:pPr>
              <w:rPr>
                <w:rFonts w:ascii="VIC" w:hAnsi="VIC"/>
                <w:sz w:val="18"/>
                <w:szCs w:val="18"/>
              </w:rPr>
            </w:pPr>
            <w:r w:rsidRPr="001E2423">
              <w:rPr>
                <w:rFonts w:ascii="VIC" w:eastAsia="Verdana" w:hAnsi="VIC"/>
                <w:color w:val="000000"/>
                <w:sz w:val="18"/>
                <w:szCs w:val="18"/>
              </w:rPr>
              <w:t>North Western (RCH)</w:t>
            </w:r>
          </w:p>
        </w:tc>
        <w:tc>
          <w:tcPr>
            <w:tcW w:w="1518" w:type="dxa"/>
            <w:shd w:val="clear" w:color="auto" w:fill="auto"/>
          </w:tcPr>
          <w:p w14:paraId="1D0EC71D" w14:textId="39DCF859" w:rsidR="00AC5C83" w:rsidRPr="00BF031D" w:rsidRDefault="00AC5C83" w:rsidP="00AC5C83">
            <w:pPr>
              <w:jc w:val="center"/>
              <w:rPr>
                <w:rFonts w:ascii="VIC" w:hAnsi="VIC"/>
                <w:sz w:val="18"/>
                <w:szCs w:val="18"/>
              </w:rPr>
            </w:pPr>
            <w:r w:rsidRPr="001E2423">
              <w:rPr>
                <w:rFonts w:ascii="VIC" w:eastAsia="Verdana" w:hAnsi="VIC"/>
                <w:color w:val="000000"/>
                <w:sz w:val="18"/>
                <w:szCs w:val="18"/>
              </w:rPr>
              <w:t>1.9</w:t>
            </w:r>
          </w:p>
        </w:tc>
        <w:tc>
          <w:tcPr>
            <w:tcW w:w="1519" w:type="dxa"/>
            <w:shd w:val="clear" w:color="auto" w:fill="auto"/>
          </w:tcPr>
          <w:p w14:paraId="5AF95C41" w14:textId="6E8A45F5" w:rsidR="00AC5C83" w:rsidRPr="00BF031D" w:rsidRDefault="00AC5C83" w:rsidP="00AC5C83">
            <w:pPr>
              <w:jc w:val="center"/>
              <w:rPr>
                <w:rFonts w:ascii="VIC" w:hAnsi="VIC"/>
                <w:sz w:val="18"/>
                <w:szCs w:val="18"/>
              </w:rPr>
            </w:pPr>
            <w:r w:rsidRPr="001E2423">
              <w:rPr>
                <w:rFonts w:ascii="VIC" w:eastAsia="Verdana" w:hAnsi="VIC"/>
                <w:color w:val="000000"/>
                <w:sz w:val="18"/>
                <w:szCs w:val="18"/>
              </w:rPr>
              <w:t>5.5</w:t>
            </w:r>
          </w:p>
        </w:tc>
        <w:tc>
          <w:tcPr>
            <w:tcW w:w="1519" w:type="dxa"/>
            <w:shd w:val="clear" w:color="auto" w:fill="auto"/>
          </w:tcPr>
          <w:p w14:paraId="2B5516B6" w14:textId="36FAB492" w:rsidR="00AC5C83" w:rsidRPr="00BF031D" w:rsidRDefault="00AC5C83" w:rsidP="00AC5C83">
            <w:pPr>
              <w:jc w:val="center"/>
              <w:rPr>
                <w:rFonts w:ascii="VIC" w:hAnsi="VIC"/>
                <w:sz w:val="18"/>
                <w:szCs w:val="18"/>
              </w:rPr>
            </w:pPr>
            <w:r w:rsidRPr="001E2423">
              <w:rPr>
                <w:rFonts w:ascii="VIC" w:eastAsia="Verdana" w:hAnsi="VIC"/>
                <w:color w:val="000000"/>
                <w:sz w:val="18"/>
                <w:szCs w:val="18"/>
              </w:rPr>
              <w:t>25.3</w:t>
            </w:r>
          </w:p>
        </w:tc>
        <w:tc>
          <w:tcPr>
            <w:tcW w:w="1518" w:type="dxa"/>
            <w:shd w:val="clear" w:color="auto" w:fill="auto"/>
          </w:tcPr>
          <w:p w14:paraId="7A550993" w14:textId="2CD2C786"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519" w:type="dxa"/>
            <w:shd w:val="clear" w:color="auto" w:fill="auto"/>
          </w:tcPr>
          <w:p w14:paraId="2B5D34DB" w14:textId="1D95BA5E" w:rsidR="00AC5C83" w:rsidRPr="00BF031D" w:rsidRDefault="00AC5C83" w:rsidP="00AC5C83">
            <w:pPr>
              <w:jc w:val="center"/>
              <w:rPr>
                <w:rFonts w:ascii="VIC" w:hAnsi="VIC"/>
                <w:sz w:val="18"/>
                <w:szCs w:val="18"/>
              </w:rPr>
            </w:pPr>
            <w:r w:rsidRPr="001E2423">
              <w:rPr>
                <w:rFonts w:ascii="VIC" w:eastAsia="Verdana" w:hAnsi="VIC"/>
                <w:color w:val="000000"/>
                <w:sz w:val="18"/>
                <w:szCs w:val="18"/>
              </w:rPr>
              <w:t>59 %</w:t>
            </w:r>
          </w:p>
        </w:tc>
        <w:tc>
          <w:tcPr>
            <w:tcW w:w="1519" w:type="dxa"/>
            <w:shd w:val="clear" w:color="auto" w:fill="auto"/>
          </w:tcPr>
          <w:p w14:paraId="31C17121" w14:textId="78C7B898" w:rsidR="00AC5C83" w:rsidRPr="00BF031D" w:rsidRDefault="00AC5C83" w:rsidP="00AC5C83">
            <w:pPr>
              <w:jc w:val="center"/>
              <w:rPr>
                <w:rFonts w:ascii="VIC" w:hAnsi="VIC"/>
                <w:sz w:val="18"/>
                <w:szCs w:val="18"/>
              </w:rPr>
            </w:pPr>
            <w:r w:rsidRPr="001E2423">
              <w:rPr>
                <w:rFonts w:ascii="VIC" w:eastAsia="Verdana" w:hAnsi="VIC"/>
                <w:color w:val="000000"/>
                <w:sz w:val="18"/>
                <w:szCs w:val="18"/>
              </w:rPr>
              <w:t>77 %</w:t>
            </w:r>
          </w:p>
        </w:tc>
        <w:tc>
          <w:tcPr>
            <w:tcW w:w="1519" w:type="dxa"/>
            <w:shd w:val="clear" w:color="auto" w:fill="auto"/>
          </w:tcPr>
          <w:p w14:paraId="651DC1F9" w14:textId="573C5952" w:rsidR="00AC5C83" w:rsidRPr="00BF031D" w:rsidRDefault="00AC5C83" w:rsidP="00AC5C83">
            <w:pPr>
              <w:jc w:val="center"/>
              <w:rPr>
                <w:rFonts w:ascii="VIC" w:hAnsi="VIC"/>
                <w:sz w:val="18"/>
                <w:szCs w:val="18"/>
              </w:rPr>
            </w:pPr>
            <w:r w:rsidRPr="001E2423">
              <w:rPr>
                <w:rFonts w:ascii="VIC" w:eastAsia="Verdana" w:hAnsi="VIC"/>
                <w:color w:val="000000"/>
                <w:sz w:val="18"/>
                <w:szCs w:val="18"/>
              </w:rPr>
              <w:t>17.9</w:t>
            </w:r>
          </w:p>
        </w:tc>
      </w:tr>
      <w:tr w:rsidR="00AC5C83" w:rsidRPr="00AC5C83" w14:paraId="02C2EFA4" w14:textId="77777777" w:rsidTr="00DB17C1">
        <w:trPr>
          <w:trHeight w:val="454"/>
        </w:trPr>
        <w:tc>
          <w:tcPr>
            <w:tcW w:w="1145" w:type="dxa"/>
            <w:shd w:val="clear" w:color="auto" w:fill="B1C9E8"/>
          </w:tcPr>
          <w:p w14:paraId="2ED99B79" w14:textId="282242BC" w:rsidR="00AC5C83" w:rsidRPr="00AC5C83" w:rsidRDefault="00AC5C83" w:rsidP="00AC5C83">
            <w:pPr>
              <w:pStyle w:val="DHHStabletext"/>
              <w:spacing w:before="0" w:after="0"/>
              <w:rPr>
                <w:rFonts w:ascii="VIC SemiBold" w:eastAsia="Verdana" w:hAnsi="VIC SemiBold" w:cs="Verdana"/>
                <w:color w:val="000000" w:themeColor="text1"/>
                <w:sz w:val="18"/>
                <w:szCs w:val="18"/>
              </w:rPr>
            </w:pPr>
          </w:p>
        </w:tc>
        <w:tc>
          <w:tcPr>
            <w:tcW w:w="1701" w:type="dxa"/>
            <w:shd w:val="clear" w:color="auto" w:fill="B1C9E8"/>
          </w:tcPr>
          <w:p w14:paraId="6D2E482C" w14:textId="24108D53"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TOTAL METRO</w:t>
            </w:r>
          </w:p>
        </w:tc>
        <w:tc>
          <w:tcPr>
            <w:tcW w:w="2268" w:type="dxa"/>
            <w:shd w:val="clear" w:color="auto" w:fill="B1C9E8"/>
          </w:tcPr>
          <w:p w14:paraId="2161546F" w14:textId="6AC13BF6" w:rsidR="00AC5C83" w:rsidRPr="00AC5C83" w:rsidRDefault="00AC5C83" w:rsidP="00AC5C83">
            <w:pPr>
              <w:rPr>
                <w:rFonts w:ascii="VIC SemiBold" w:hAnsi="VIC SemiBold"/>
                <w:color w:val="000000" w:themeColor="text1"/>
                <w:sz w:val="18"/>
                <w:szCs w:val="18"/>
              </w:rPr>
            </w:pPr>
            <w:r w:rsidRPr="00AC5C83">
              <w:rPr>
                <w:rFonts w:ascii="VIC" w:eastAsia="Verdana" w:hAnsi="VIC"/>
                <w:color w:val="000000" w:themeColor="text1"/>
                <w:sz w:val="18"/>
                <w:szCs w:val="18"/>
              </w:rPr>
              <w:t xml:space="preserve"> </w:t>
            </w:r>
          </w:p>
        </w:tc>
        <w:tc>
          <w:tcPr>
            <w:tcW w:w="1518" w:type="dxa"/>
            <w:shd w:val="clear" w:color="auto" w:fill="B1C9E8"/>
          </w:tcPr>
          <w:p w14:paraId="2393AA4F" w14:textId="5D832631"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1.9</w:t>
            </w:r>
          </w:p>
        </w:tc>
        <w:tc>
          <w:tcPr>
            <w:tcW w:w="1519" w:type="dxa"/>
            <w:shd w:val="clear" w:color="auto" w:fill="B1C9E8"/>
          </w:tcPr>
          <w:p w14:paraId="72F968F2" w14:textId="0A326378"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5.7</w:t>
            </w:r>
          </w:p>
        </w:tc>
        <w:tc>
          <w:tcPr>
            <w:tcW w:w="1519" w:type="dxa"/>
            <w:shd w:val="clear" w:color="auto" w:fill="B1C9E8"/>
          </w:tcPr>
          <w:p w14:paraId="653BFA5B" w14:textId="14E9F14F"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36.3</w:t>
            </w:r>
          </w:p>
        </w:tc>
        <w:tc>
          <w:tcPr>
            <w:tcW w:w="1518" w:type="dxa"/>
            <w:shd w:val="clear" w:color="auto" w:fill="B1C9E8"/>
          </w:tcPr>
          <w:p w14:paraId="49006B5F" w14:textId="0A70BB60"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63 %</w:t>
            </w:r>
          </w:p>
        </w:tc>
        <w:tc>
          <w:tcPr>
            <w:tcW w:w="1519" w:type="dxa"/>
            <w:shd w:val="clear" w:color="auto" w:fill="B1C9E8"/>
          </w:tcPr>
          <w:p w14:paraId="3023EE16" w14:textId="6ABB9FE2"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56 %</w:t>
            </w:r>
          </w:p>
        </w:tc>
        <w:tc>
          <w:tcPr>
            <w:tcW w:w="1519" w:type="dxa"/>
            <w:shd w:val="clear" w:color="auto" w:fill="B1C9E8"/>
          </w:tcPr>
          <w:p w14:paraId="6D717BE9" w14:textId="5F6D658C"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87 %</w:t>
            </w:r>
          </w:p>
        </w:tc>
        <w:tc>
          <w:tcPr>
            <w:tcW w:w="1519" w:type="dxa"/>
            <w:shd w:val="clear" w:color="auto" w:fill="B1C9E8"/>
          </w:tcPr>
          <w:p w14:paraId="35AB8325" w14:textId="075EF5B4"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18.4</w:t>
            </w:r>
          </w:p>
        </w:tc>
      </w:tr>
      <w:tr w:rsidR="00AC5C83" w:rsidRPr="00BF031D" w14:paraId="278CD696" w14:textId="77777777" w:rsidTr="0067289E">
        <w:trPr>
          <w:trHeight w:val="454"/>
        </w:trPr>
        <w:tc>
          <w:tcPr>
            <w:tcW w:w="1145" w:type="dxa"/>
            <w:shd w:val="clear" w:color="auto" w:fill="FFFFFF" w:themeFill="background1"/>
          </w:tcPr>
          <w:p w14:paraId="0464B737" w14:textId="0B7DC718"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Child Unit</w:t>
            </w:r>
          </w:p>
        </w:tc>
        <w:tc>
          <w:tcPr>
            <w:tcW w:w="1701" w:type="dxa"/>
            <w:shd w:val="clear" w:color="auto" w:fill="FFFFFF" w:themeFill="background1"/>
          </w:tcPr>
          <w:p w14:paraId="26D566D7" w14:textId="35F14AF7"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Monash Health</w:t>
            </w:r>
          </w:p>
        </w:tc>
        <w:tc>
          <w:tcPr>
            <w:tcW w:w="2268" w:type="dxa"/>
            <w:shd w:val="clear" w:color="auto" w:fill="FFFFFF" w:themeFill="background1"/>
          </w:tcPr>
          <w:p w14:paraId="63D6FFE0" w14:textId="17B2CF3F" w:rsidR="00AC5C83" w:rsidRPr="00BF031D" w:rsidRDefault="00AC5C83" w:rsidP="00AC5C83">
            <w:pPr>
              <w:rPr>
                <w:rFonts w:ascii="VIC" w:hAnsi="VIC"/>
                <w:sz w:val="18"/>
                <w:szCs w:val="18"/>
              </w:rPr>
            </w:pPr>
            <w:r w:rsidRPr="001E2423">
              <w:rPr>
                <w:rFonts w:ascii="VIC" w:eastAsia="Verdana" w:hAnsi="VIC"/>
                <w:color w:val="000000"/>
                <w:sz w:val="18"/>
                <w:szCs w:val="18"/>
              </w:rPr>
              <w:t>Oasis</w:t>
            </w:r>
          </w:p>
        </w:tc>
        <w:tc>
          <w:tcPr>
            <w:tcW w:w="1518" w:type="dxa"/>
            <w:shd w:val="clear" w:color="auto" w:fill="FFFFFF" w:themeFill="background1"/>
          </w:tcPr>
          <w:p w14:paraId="4A230FF0" w14:textId="77777777" w:rsidR="00AC5C83" w:rsidRPr="00BF031D" w:rsidRDefault="00AC5C83" w:rsidP="00AC5C83">
            <w:pPr>
              <w:jc w:val="center"/>
              <w:rPr>
                <w:rFonts w:ascii="VIC" w:hAnsi="VIC"/>
                <w:sz w:val="18"/>
                <w:szCs w:val="18"/>
              </w:rPr>
            </w:pPr>
          </w:p>
        </w:tc>
        <w:tc>
          <w:tcPr>
            <w:tcW w:w="1519" w:type="dxa"/>
            <w:shd w:val="clear" w:color="auto" w:fill="FFFFFF" w:themeFill="background1"/>
          </w:tcPr>
          <w:p w14:paraId="3E2742AE" w14:textId="4E41B397" w:rsidR="00AC5C83" w:rsidRPr="00BF031D" w:rsidRDefault="00AC5C83" w:rsidP="00AC5C83">
            <w:pPr>
              <w:jc w:val="center"/>
              <w:rPr>
                <w:rFonts w:ascii="VIC" w:hAnsi="VIC"/>
                <w:sz w:val="18"/>
                <w:szCs w:val="18"/>
              </w:rPr>
            </w:pPr>
            <w:r w:rsidRPr="001E2423">
              <w:rPr>
                <w:rFonts w:ascii="VIC" w:eastAsia="Verdana" w:hAnsi="VIC"/>
                <w:color w:val="000000"/>
                <w:sz w:val="18"/>
                <w:szCs w:val="18"/>
              </w:rPr>
              <w:t>4.7</w:t>
            </w:r>
          </w:p>
        </w:tc>
        <w:tc>
          <w:tcPr>
            <w:tcW w:w="1519" w:type="dxa"/>
            <w:shd w:val="clear" w:color="auto" w:fill="FFFFFF" w:themeFill="background1"/>
          </w:tcPr>
          <w:p w14:paraId="0335D48C" w14:textId="3B22987E" w:rsidR="00AC5C83" w:rsidRPr="00BF031D" w:rsidRDefault="00AC5C83" w:rsidP="00AC5C83">
            <w:pPr>
              <w:jc w:val="center"/>
              <w:rPr>
                <w:rFonts w:ascii="VIC" w:hAnsi="VIC"/>
                <w:sz w:val="18"/>
                <w:szCs w:val="18"/>
              </w:rPr>
            </w:pPr>
            <w:r w:rsidRPr="001E2423">
              <w:rPr>
                <w:rFonts w:ascii="VIC" w:eastAsia="Verdana" w:hAnsi="VIC"/>
                <w:color w:val="000000"/>
                <w:sz w:val="18"/>
                <w:szCs w:val="18"/>
              </w:rPr>
              <w:t>8.8</w:t>
            </w:r>
          </w:p>
        </w:tc>
        <w:tc>
          <w:tcPr>
            <w:tcW w:w="1518" w:type="dxa"/>
            <w:shd w:val="clear" w:color="auto" w:fill="FFFFFF" w:themeFill="background1"/>
          </w:tcPr>
          <w:p w14:paraId="4327AF57" w14:textId="09A6B88B" w:rsidR="00AC5C83" w:rsidRPr="00BF031D" w:rsidRDefault="00AC5C83" w:rsidP="00AC5C83">
            <w:pPr>
              <w:jc w:val="center"/>
              <w:rPr>
                <w:rFonts w:ascii="VIC" w:hAnsi="VIC"/>
                <w:sz w:val="18"/>
                <w:szCs w:val="18"/>
              </w:rPr>
            </w:pPr>
            <w:r w:rsidRPr="001E2423">
              <w:rPr>
                <w:rFonts w:ascii="VIC" w:eastAsia="Verdana" w:hAnsi="VIC"/>
                <w:color w:val="000000"/>
                <w:sz w:val="18"/>
                <w:szCs w:val="18"/>
              </w:rPr>
              <w:t>62 %</w:t>
            </w:r>
          </w:p>
        </w:tc>
        <w:tc>
          <w:tcPr>
            <w:tcW w:w="1519" w:type="dxa"/>
            <w:shd w:val="clear" w:color="auto" w:fill="FFFFFF" w:themeFill="background1"/>
          </w:tcPr>
          <w:p w14:paraId="647E6416" w14:textId="5FEF7EBC" w:rsidR="00AC5C83" w:rsidRPr="00BF031D" w:rsidRDefault="00AC5C83" w:rsidP="00AC5C83">
            <w:pPr>
              <w:jc w:val="center"/>
              <w:rPr>
                <w:rFonts w:ascii="VIC" w:hAnsi="VIC"/>
                <w:sz w:val="18"/>
                <w:szCs w:val="18"/>
              </w:rPr>
            </w:pPr>
            <w:r w:rsidRPr="001E2423">
              <w:rPr>
                <w:rFonts w:ascii="VIC" w:eastAsia="Verdana" w:hAnsi="VIC"/>
                <w:color w:val="000000"/>
                <w:sz w:val="18"/>
                <w:szCs w:val="18"/>
              </w:rPr>
              <w:t>62 %</w:t>
            </w:r>
          </w:p>
        </w:tc>
        <w:tc>
          <w:tcPr>
            <w:tcW w:w="1519" w:type="dxa"/>
            <w:shd w:val="clear" w:color="auto" w:fill="FFFFFF" w:themeFill="background1"/>
          </w:tcPr>
          <w:p w14:paraId="5FD29BC6" w14:textId="36689B51" w:rsidR="00AC5C83" w:rsidRPr="00BF031D" w:rsidRDefault="00AC5C83" w:rsidP="00AC5C83">
            <w:pPr>
              <w:jc w:val="center"/>
              <w:rPr>
                <w:rFonts w:ascii="VIC" w:hAnsi="VIC"/>
                <w:sz w:val="18"/>
                <w:szCs w:val="18"/>
              </w:rPr>
            </w:pPr>
            <w:r w:rsidRPr="001E2423">
              <w:rPr>
                <w:rFonts w:ascii="VIC" w:eastAsia="Verdana" w:hAnsi="VIC"/>
                <w:color w:val="000000"/>
                <w:sz w:val="18"/>
                <w:szCs w:val="18"/>
              </w:rPr>
              <w:t>97 %</w:t>
            </w:r>
          </w:p>
        </w:tc>
        <w:tc>
          <w:tcPr>
            <w:tcW w:w="1519" w:type="dxa"/>
            <w:shd w:val="clear" w:color="auto" w:fill="FFFFFF" w:themeFill="background1"/>
          </w:tcPr>
          <w:p w14:paraId="2DAED778" w14:textId="3F30020D" w:rsidR="00AC5C83" w:rsidRPr="00BF031D" w:rsidRDefault="00AC5C83" w:rsidP="00AC5C83">
            <w:pPr>
              <w:jc w:val="center"/>
              <w:rPr>
                <w:rFonts w:ascii="VIC" w:hAnsi="VIC"/>
                <w:sz w:val="18"/>
                <w:szCs w:val="18"/>
              </w:rPr>
            </w:pPr>
            <w:r w:rsidRPr="001E2423">
              <w:rPr>
                <w:rFonts w:ascii="VIC" w:eastAsia="Verdana" w:hAnsi="VIC"/>
                <w:color w:val="000000"/>
                <w:sz w:val="18"/>
                <w:szCs w:val="18"/>
              </w:rPr>
              <w:t>20.8</w:t>
            </w:r>
          </w:p>
        </w:tc>
      </w:tr>
      <w:tr w:rsidR="00AC5C83" w:rsidRPr="00BF031D" w14:paraId="7ACFBD96" w14:textId="77777777" w:rsidTr="003D0E58">
        <w:trPr>
          <w:trHeight w:val="454"/>
        </w:trPr>
        <w:tc>
          <w:tcPr>
            <w:tcW w:w="1145" w:type="dxa"/>
            <w:shd w:val="clear" w:color="auto" w:fill="BFCED6"/>
          </w:tcPr>
          <w:p w14:paraId="6110F09D" w14:textId="2F91217E"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Statewide Child Unit</w:t>
            </w:r>
          </w:p>
        </w:tc>
        <w:tc>
          <w:tcPr>
            <w:tcW w:w="1701" w:type="dxa"/>
            <w:shd w:val="clear" w:color="auto" w:fill="BFCED6"/>
          </w:tcPr>
          <w:p w14:paraId="61EB92BF" w14:textId="46982968"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Austin Health</w:t>
            </w:r>
          </w:p>
        </w:tc>
        <w:tc>
          <w:tcPr>
            <w:tcW w:w="2268" w:type="dxa"/>
            <w:shd w:val="clear" w:color="auto" w:fill="BFCED6"/>
          </w:tcPr>
          <w:p w14:paraId="25698FD1" w14:textId="0A9B87D0" w:rsidR="00AC5C83" w:rsidRPr="00BF031D" w:rsidRDefault="00AC5C83" w:rsidP="00AC5C83">
            <w:pPr>
              <w:rPr>
                <w:rFonts w:ascii="VIC" w:hAnsi="VIC"/>
                <w:sz w:val="18"/>
                <w:szCs w:val="18"/>
              </w:rPr>
            </w:pPr>
            <w:r w:rsidRPr="001E2423">
              <w:rPr>
                <w:rFonts w:ascii="VIC" w:eastAsia="Verdana" w:hAnsi="VIC"/>
                <w:color w:val="000000"/>
                <w:sz w:val="18"/>
                <w:szCs w:val="18"/>
              </w:rPr>
              <w:t>Statewide Child Unit (Eagle)</w:t>
            </w:r>
          </w:p>
        </w:tc>
        <w:tc>
          <w:tcPr>
            <w:tcW w:w="1518" w:type="dxa"/>
            <w:shd w:val="clear" w:color="auto" w:fill="BFCED6"/>
          </w:tcPr>
          <w:p w14:paraId="5DBF0404" w14:textId="77777777" w:rsidR="00AC5C83" w:rsidRPr="00BF031D" w:rsidRDefault="00AC5C83" w:rsidP="00AC5C83">
            <w:pPr>
              <w:jc w:val="center"/>
              <w:rPr>
                <w:rFonts w:ascii="VIC" w:hAnsi="VIC"/>
                <w:sz w:val="18"/>
                <w:szCs w:val="18"/>
              </w:rPr>
            </w:pPr>
          </w:p>
        </w:tc>
        <w:tc>
          <w:tcPr>
            <w:tcW w:w="1519" w:type="dxa"/>
            <w:shd w:val="clear" w:color="auto" w:fill="BFCED6"/>
          </w:tcPr>
          <w:p w14:paraId="0409E50C" w14:textId="5D368F6C" w:rsidR="00AC5C83" w:rsidRPr="00BF031D" w:rsidRDefault="00AC5C83" w:rsidP="00AC5C83">
            <w:pPr>
              <w:jc w:val="center"/>
              <w:rPr>
                <w:rFonts w:ascii="VIC" w:hAnsi="VIC"/>
                <w:sz w:val="18"/>
                <w:szCs w:val="18"/>
              </w:rPr>
            </w:pPr>
            <w:r w:rsidRPr="001E2423">
              <w:rPr>
                <w:rFonts w:ascii="VIC" w:eastAsia="Verdana" w:hAnsi="VIC"/>
                <w:color w:val="000000"/>
                <w:sz w:val="18"/>
                <w:szCs w:val="18"/>
              </w:rPr>
              <w:t>4.5</w:t>
            </w:r>
          </w:p>
        </w:tc>
        <w:tc>
          <w:tcPr>
            <w:tcW w:w="1519" w:type="dxa"/>
            <w:shd w:val="clear" w:color="auto" w:fill="BFCED6"/>
          </w:tcPr>
          <w:p w14:paraId="0AA4BDCD" w14:textId="70C203E0" w:rsidR="00AC5C83" w:rsidRPr="00BF031D" w:rsidRDefault="00AC5C83" w:rsidP="00AC5C83">
            <w:pPr>
              <w:jc w:val="center"/>
              <w:rPr>
                <w:rFonts w:ascii="VIC" w:hAnsi="VIC"/>
                <w:sz w:val="18"/>
                <w:szCs w:val="18"/>
              </w:rPr>
            </w:pPr>
            <w:r w:rsidRPr="001E2423">
              <w:rPr>
                <w:rFonts w:ascii="VIC" w:eastAsia="Verdana" w:hAnsi="VIC"/>
                <w:color w:val="000000"/>
                <w:sz w:val="18"/>
                <w:szCs w:val="18"/>
              </w:rPr>
              <w:t>0.0</w:t>
            </w:r>
          </w:p>
        </w:tc>
        <w:tc>
          <w:tcPr>
            <w:tcW w:w="1518" w:type="dxa"/>
            <w:shd w:val="clear" w:color="auto" w:fill="BFCED6"/>
          </w:tcPr>
          <w:p w14:paraId="6D121D0A" w14:textId="656CCF87" w:rsidR="00AC5C83" w:rsidRPr="00BF031D" w:rsidRDefault="00AC5C83" w:rsidP="00AC5C83">
            <w:pPr>
              <w:jc w:val="center"/>
              <w:rPr>
                <w:rFonts w:ascii="VIC" w:hAnsi="VIC"/>
                <w:sz w:val="18"/>
                <w:szCs w:val="18"/>
              </w:rPr>
            </w:pPr>
            <w:r w:rsidRPr="001E2423">
              <w:rPr>
                <w:rFonts w:ascii="VIC" w:eastAsia="Verdana" w:hAnsi="VIC"/>
                <w:color w:val="000000"/>
                <w:sz w:val="18"/>
                <w:szCs w:val="18"/>
              </w:rPr>
              <w:t>24 %</w:t>
            </w:r>
          </w:p>
        </w:tc>
        <w:tc>
          <w:tcPr>
            <w:tcW w:w="1519" w:type="dxa"/>
            <w:shd w:val="clear" w:color="auto" w:fill="BFCED6"/>
          </w:tcPr>
          <w:p w14:paraId="6AF0F1FB" w14:textId="4C3223CF" w:rsidR="00AC5C83" w:rsidRPr="00BF031D" w:rsidRDefault="00AC5C83" w:rsidP="00AC5C83">
            <w:pPr>
              <w:jc w:val="center"/>
              <w:rPr>
                <w:rFonts w:ascii="VIC" w:hAnsi="VIC"/>
                <w:sz w:val="18"/>
                <w:szCs w:val="18"/>
              </w:rPr>
            </w:pPr>
            <w:r w:rsidRPr="001E2423">
              <w:rPr>
                <w:rFonts w:ascii="VIC" w:eastAsia="Verdana" w:hAnsi="VIC"/>
                <w:color w:val="000000"/>
                <w:sz w:val="18"/>
                <w:szCs w:val="18"/>
              </w:rPr>
              <w:t>20 %</w:t>
            </w:r>
          </w:p>
        </w:tc>
        <w:tc>
          <w:tcPr>
            <w:tcW w:w="1519" w:type="dxa"/>
            <w:shd w:val="clear" w:color="auto" w:fill="BFCED6"/>
          </w:tcPr>
          <w:p w14:paraId="38801302" w14:textId="73385930" w:rsidR="00AC5C83" w:rsidRPr="00BF031D" w:rsidRDefault="00AC5C83" w:rsidP="00AC5C83">
            <w:pPr>
              <w:jc w:val="center"/>
              <w:rPr>
                <w:rFonts w:ascii="VIC" w:hAnsi="VIC"/>
                <w:sz w:val="18"/>
                <w:szCs w:val="18"/>
              </w:rPr>
            </w:pPr>
            <w:r w:rsidRPr="001E2423">
              <w:rPr>
                <w:rFonts w:ascii="VIC" w:eastAsia="Verdana" w:hAnsi="VIC"/>
                <w:color w:val="000000"/>
                <w:sz w:val="18"/>
                <w:szCs w:val="18"/>
              </w:rPr>
              <w:t>42 %</w:t>
            </w:r>
          </w:p>
        </w:tc>
        <w:tc>
          <w:tcPr>
            <w:tcW w:w="1519" w:type="dxa"/>
            <w:shd w:val="clear" w:color="auto" w:fill="BFCED6"/>
          </w:tcPr>
          <w:p w14:paraId="24661210" w14:textId="66838C77" w:rsidR="00AC5C83" w:rsidRPr="00BF031D" w:rsidRDefault="00AC5C83" w:rsidP="00AC5C83">
            <w:pPr>
              <w:jc w:val="center"/>
              <w:rPr>
                <w:rFonts w:ascii="VIC" w:hAnsi="VIC"/>
                <w:sz w:val="18"/>
                <w:szCs w:val="18"/>
              </w:rPr>
            </w:pPr>
            <w:r w:rsidRPr="001E2423">
              <w:rPr>
                <w:rFonts w:ascii="VIC" w:eastAsia="Verdana" w:hAnsi="VIC"/>
                <w:color w:val="000000"/>
                <w:sz w:val="18"/>
                <w:szCs w:val="18"/>
              </w:rPr>
              <w:t>24.1</w:t>
            </w:r>
          </w:p>
        </w:tc>
      </w:tr>
    </w:tbl>
    <w:p w14:paraId="68F4E4EA" w14:textId="28DF4CE1" w:rsidR="00BF031D" w:rsidRDefault="00BF031D">
      <w:pPr>
        <w:rPr>
          <w:sz w:val="6"/>
        </w:rPr>
      </w:pPr>
    </w:p>
    <w:p w14:paraId="19952C75" w14:textId="77777777" w:rsidR="00BF031D" w:rsidRDefault="00BF031D">
      <w:pPr>
        <w:widowControl/>
        <w:rPr>
          <w:sz w:val="6"/>
        </w:rPr>
      </w:pPr>
      <w:r>
        <w:rPr>
          <w:sz w:val="6"/>
        </w:rPr>
        <w:br w:type="page"/>
      </w:r>
    </w:p>
    <w:p w14:paraId="2AE83252"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570"/>
        <w:gridCol w:w="1985"/>
        <w:gridCol w:w="1108"/>
        <w:gridCol w:w="1108"/>
        <w:gridCol w:w="1108"/>
        <w:gridCol w:w="1108"/>
        <w:gridCol w:w="1108"/>
        <w:gridCol w:w="1109"/>
        <w:gridCol w:w="1108"/>
        <w:gridCol w:w="1108"/>
        <w:gridCol w:w="1108"/>
        <w:gridCol w:w="1108"/>
        <w:gridCol w:w="1109"/>
      </w:tblGrid>
      <w:tr w:rsidR="0067289E" w:rsidRPr="00A6366B" w14:paraId="5D9A8EFA" w14:textId="77777777" w:rsidTr="0067289E">
        <w:trPr>
          <w:trHeight w:val="1062"/>
          <w:tblHeader/>
        </w:trPr>
        <w:tc>
          <w:tcPr>
            <w:tcW w:w="3555" w:type="dxa"/>
            <w:gridSpan w:val="2"/>
            <w:shd w:val="clear" w:color="auto" w:fill="FFFFFF"/>
            <w:vAlign w:val="bottom"/>
          </w:tcPr>
          <w:p w14:paraId="5C4215A3" w14:textId="3D9E4444" w:rsidR="0067289E" w:rsidRPr="00592F37" w:rsidRDefault="0067289E" w:rsidP="0067289E">
            <w:pPr>
              <w:pStyle w:val="Heading1"/>
              <w:spacing w:before="0" w:line="240" w:lineRule="auto"/>
              <w:rPr>
                <w:color w:val="244C5A"/>
                <w:sz w:val="28"/>
                <w:szCs w:val="28"/>
              </w:rPr>
            </w:pPr>
            <w:bookmarkStart w:id="6" w:name="_Toc45898289"/>
            <w:r>
              <w:rPr>
                <w:color w:val="244C5A"/>
                <w:sz w:val="22"/>
                <w:szCs w:val="28"/>
              </w:rPr>
              <w:t>Communit</w:t>
            </w:r>
            <w:r w:rsidR="00C304B4">
              <w:rPr>
                <w:color w:val="244C5A"/>
                <w:sz w:val="22"/>
                <w:szCs w:val="28"/>
              </w:rPr>
              <w:t>y</w:t>
            </w:r>
            <w:r w:rsidRPr="00052DAD">
              <w:rPr>
                <w:color w:val="244C5A"/>
                <w:sz w:val="22"/>
                <w:szCs w:val="28"/>
              </w:rPr>
              <w:br w:type="textWrapping" w:clear="all"/>
            </w:r>
            <w:r>
              <w:rPr>
                <w:color w:val="244C5A"/>
                <w:sz w:val="22"/>
                <w:szCs w:val="28"/>
              </w:rPr>
              <w:t>2019</w:t>
            </w:r>
            <w:r w:rsidR="00C304B4">
              <w:rPr>
                <w:color w:val="244C5A"/>
                <w:sz w:val="22"/>
                <w:szCs w:val="28"/>
              </w:rPr>
              <w:t>–</w:t>
            </w:r>
            <w:r>
              <w:rPr>
                <w:color w:val="244C5A"/>
                <w:sz w:val="22"/>
                <w:szCs w:val="28"/>
              </w:rPr>
              <w:t>20 Q</w:t>
            </w:r>
            <w:r w:rsidR="00AC5C83">
              <w:rPr>
                <w:color w:val="244C5A"/>
                <w:sz w:val="22"/>
                <w:szCs w:val="28"/>
              </w:rPr>
              <w:t>4</w:t>
            </w:r>
            <w:bookmarkEnd w:id="6"/>
          </w:p>
        </w:tc>
        <w:tc>
          <w:tcPr>
            <w:tcW w:w="1108" w:type="dxa"/>
            <w:shd w:val="clear" w:color="auto" w:fill="FFFFFF"/>
            <w:vAlign w:val="bottom"/>
          </w:tcPr>
          <w:p w14:paraId="6E4502BA" w14:textId="648B3767" w:rsidR="0067289E" w:rsidRPr="0067289E" w:rsidRDefault="0067289E" w:rsidP="0067289E">
            <w:pPr>
              <w:pStyle w:val="VAHItablecolhead"/>
              <w:rPr>
                <w:rFonts w:eastAsia="Verdana"/>
                <w:color w:val="244C5A"/>
                <w:sz w:val="16"/>
              </w:rPr>
            </w:pPr>
            <w:r w:rsidRPr="0067289E">
              <w:rPr>
                <w:sz w:val="16"/>
              </w:rPr>
              <w:t>Pre admission contact (by resp AMHS)</w:t>
            </w:r>
          </w:p>
        </w:tc>
        <w:tc>
          <w:tcPr>
            <w:tcW w:w="1108" w:type="dxa"/>
            <w:shd w:val="clear" w:color="auto" w:fill="FFFFFF"/>
            <w:vAlign w:val="bottom"/>
          </w:tcPr>
          <w:p w14:paraId="688684B7" w14:textId="6E916ACB" w:rsidR="0067289E" w:rsidRPr="0067289E" w:rsidRDefault="0067289E" w:rsidP="0067289E">
            <w:pPr>
              <w:pStyle w:val="VAHItablecolhead"/>
              <w:rPr>
                <w:rFonts w:eastAsia="Verdana"/>
                <w:color w:val="244C5A"/>
                <w:sz w:val="16"/>
              </w:rPr>
            </w:pPr>
            <w:r w:rsidRPr="0067289E">
              <w:rPr>
                <w:sz w:val="16"/>
              </w:rPr>
              <w:t>7 day post discharge follow up (by resp AMHS)</w:t>
            </w:r>
          </w:p>
        </w:tc>
        <w:tc>
          <w:tcPr>
            <w:tcW w:w="1108" w:type="dxa"/>
            <w:shd w:val="clear" w:color="auto" w:fill="FFFFFF"/>
            <w:vAlign w:val="bottom"/>
          </w:tcPr>
          <w:p w14:paraId="3A3AC3B6" w14:textId="5BBAE58E" w:rsidR="0067289E" w:rsidRPr="0067289E" w:rsidRDefault="0067289E" w:rsidP="0067289E">
            <w:pPr>
              <w:pStyle w:val="VAHItablecolhead"/>
              <w:rPr>
                <w:sz w:val="16"/>
              </w:rPr>
            </w:pPr>
            <w:r w:rsidRPr="0067289E">
              <w:rPr>
                <w:sz w:val="16"/>
              </w:rPr>
              <w:t>Closed cases re-referred within 6 months</w:t>
            </w:r>
          </w:p>
        </w:tc>
        <w:tc>
          <w:tcPr>
            <w:tcW w:w="1108" w:type="dxa"/>
            <w:shd w:val="clear" w:color="auto" w:fill="FFFFFF"/>
            <w:vAlign w:val="bottom"/>
          </w:tcPr>
          <w:p w14:paraId="490523BF" w14:textId="2C056383" w:rsidR="0067289E" w:rsidRPr="0067289E" w:rsidRDefault="0067289E" w:rsidP="0067289E">
            <w:pPr>
              <w:pStyle w:val="VAHItablecolhead"/>
              <w:rPr>
                <w:sz w:val="16"/>
              </w:rPr>
            </w:pPr>
            <w:r w:rsidRPr="0067289E">
              <w:rPr>
                <w:sz w:val="16"/>
              </w:rPr>
              <w:t>Average length of case (days)</w:t>
            </w:r>
          </w:p>
        </w:tc>
        <w:tc>
          <w:tcPr>
            <w:tcW w:w="1108" w:type="dxa"/>
            <w:shd w:val="clear" w:color="auto" w:fill="FFFFFF"/>
            <w:vAlign w:val="bottom"/>
          </w:tcPr>
          <w:p w14:paraId="2AA9B850" w14:textId="65C753C8" w:rsidR="0067289E" w:rsidRPr="0067289E" w:rsidRDefault="0067289E" w:rsidP="0067289E">
            <w:pPr>
              <w:pStyle w:val="VAHItablecolhead"/>
              <w:rPr>
                <w:sz w:val="16"/>
              </w:rPr>
            </w:pPr>
            <w:r w:rsidRPr="0067289E">
              <w:rPr>
                <w:sz w:val="16"/>
              </w:rPr>
              <w:t>Average treatment days</w:t>
            </w:r>
          </w:p>
        </w:tc>
        <w:tc>
          <w:tcPr>
            <w:tcW w:w="1109" w:type="dxa"/>
            <w:shd w:val="clear" w:color="auto" w:fill="FFFFFF"/>
            <w:vAlign w:val="bottom"/>
          </w:tcPr>
          <w:p w14:paraId="0B9E5718" w14:textId="567B6DF5" w:rsidR="0067289E" w:rsidRPr="0067289E" w:rsidRDefault="0067289E" w:rsidP="0067289E">
            <w:pPr>
              <w:pStyle w:val="VAHItablecolhead"/>
              <w:rPr>
                <w:rFonts w:eastAsia="Verdana"/>
                <w:color w:val="244C5A"/>
                <w:sz w:val="16"/>
              </w:rPr>
            </w:pPr>
            <w:r w:rsidRPr="0067289E">
              <w:rPr>
                <w:sz w:val="16"/>
              </w:rPr>
              <w:t>HoNOS compliance</w:t>
            </w:r>
          </w:p>
        </w:tc>
        <w:tc>
          <w:tcPr>
            <w:tcW w:w="1108" w:type="dxa"/>
            <w:shd w:val="clear" w:color="auto" w:fill="FFFFFF"/>
            <w:vAlign w:val="bottom"/>
          </w:tcPr>
          <w:p w14:paraId="547FFBCD" w14:textId="34FAE696" w:rsidR="0067289E" w:rsidRPr="0067289E" w:rsidRDefault="0067289E" w:rsidP="0067289E">
            <w:pPr>
              <w:pStyle w:val="VAHItablecolhead"/>
              <w:rPr>
                <w:rFonts w:eastAsia="Verdana"/>
                <w:color w:val="244C5A"/>
                <w:sz w:val="16"/>
              </w:rPr>
            </w:pPr>
            <w:r w:rsidRPr="0067289E">
              <w:rPr>
                <w:sz w:val="16"/>
              </w:rPr>
              <w:t>Average HoNOS at case start</w:t>
            </w:r>
          </w:p>
        </w:tc>
        <w:tc>
          <w:tcPr>
            <w:tcW w:w="1108" w:type="dxa"/>
            <w:shd w:val="clear" w:color="auto" w:fill="FFFFFF"/>
            <w:vAlign w:val="bottom"/>
          </w:tcPr>
          <w:p w14:paraId="4CEBB745" w14:textId="204595D1" w:rsidR="0067289E" w:rsidRPr="0067289E" w:rsidRDefault="0067289E" w:rsidP="0067289E">
            <w:pPr>
              <w:pStyle w:val="VAHItablecolhead"/>
              <w:rPr>
                <w:rFonts w:eastAsia="Verdana"/>
                <w:color w:val="244C5A"/>
                <w:sz w:val="16"/>
              </w:rPr>
            </w:pPr>
            <w:r w:rsidRPr="0067289E">
              <w:rPr>
                <w:sz w:val="16"/>
              </w:rPr>
              <w:t>Cases with significant improvement at closure</w:t>
            </w:r>
          </w:p>
        </w:tc>
        <w:tc>
          <w:tcPr>
            <w:tcW w:w="1108" w:type="dxa"/>
            <w:shd w:val="clear" w:color="auto" w:fill="FFFFFF"/>
            <w:vAlign w:val="bottom"/>
          </w:tcPr>
          <w:p w14:paraId="09E2BD11" w14:textId="66D9684A" w:rsidR="0067289E" w:rsidRPr="0067289E" w:rsidRDefault="0067289E" w:rsidP="0067289E">
            <w:pPr>
              <w:pStyle w:val="VAHItablecolhead"/>
              <w:rPr>
                <w:rFonts w:eastAsia="Verdana"/>
                <w:color w:val="244C5A"/>
                <w:sz w:val="16"/>
              </w:rPr>
            </w:pPr>
            <w:r w:rsidRPr="0067289E">
              <w:rPr>
                <w:sz w:val="16"/>
              </w:rPr>
              <w:t>Self rated measures completed</w:t>
            </w:r>
          </w:p>
        </w:tc>
        <w:tc>
          <w:tcPr>
            <w:tcW w:w="1108" w:type="dxa"/>
            <w:shd w:val="clear" w:color="auto" w:fill="FFFFFF"/>
            <w:vAlign w:val="bottom"/>
          </w:tcPr>
          <w:p w14:paraId="5A7BF756" w14:textId="5F567071" w:rsidR="0067289E" w:rsidRPr="0067289E" w:rsidRDefault="0067289E" w:rsidP="0067289E">
            <w:pPr>
              <w:pStyle w:val="VAHItablecolhead"/>
              <w:rPr>
                <w:rFonts w:eastAsia="Verdana"/>
                <w:color w:val="244C5A"/>
                <w:sz w:val="16"/>
              </w:rPr>
            </w:pPr>
            <w:r w:rsidRPr="0067289E">
              <w:rPr>
                <w:sz w:val="16"/>
              </w:rPr>
              <w:t>Average change in clinically significant items</w:t>
            </w:r>
          </w:p>
        </w:tc>
        <w:tc>
          <w:tcPr>
            <w:tcW w:w="1109" w:type="dxa"/>
            <w:shd w:val="clear" w:color="auto" w:fill="FFFFFF"/>
            <w:vAlign w:val="bottom"/>
          </w:tcPr>
          <w:p w14:paraId="60CC86FE" w14:textId="1CC88E4B" w:rsidR="0067289E" w:rsidRPr="0067289E" w:rsidRDefault="0067289E" w:rsidP="0067289E">
            <w:pPr>
              <w:pStyle w:val="VAHItablecolhead"/>
              <w:rPr>
                <w:rFonts w:eastAsia="Verdana"/>
                <w:color w:val="244C5A"/>
                <w:sz w:val="16"/>
              </w:rPr>
            </w:pPr>
            <w:r w:rsidRPr="0067289E">
              <w:rPr>
                <w:sz w:val="16"/>
              </w:rPr>
              <w:t>CAMHS consumers aged under 12</w:t>
            </w:r>
          </w:p>
        </w:tc>
      </w:tr>
      <w:tr w:rsidR="00AC5C83" w:rsidRPr="00BF031D" w14:paraId="17FC2E71" w14:textId="77777777" w:rsidTr="0067289E">
        <w:trPr>
          <w:trHeight w:val="454"/>
        </w:trPr>
        <w:tc>
          <w:tcPr>
            <w:tcW w:w="1570" w:type="dxa"/>
            <w:shd w:val="clear" w:color="auto" w:fill="BFCED6"/>
          </w:tcPr>
          <w:p w14:paraId="0D6BF0C7" w14:textId="22898F1E"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Alfred Health</w:t>
            </w:r>
          </w:p>
        </w:tc>
        <w:tc>
          <w:tcPr>
            <w:tcW w:w="1985" w:type="dxa"/>
            <w:shd w:val="clear" w:color="auto" w:fill="BFCED6"/>
          </w:tcPr>
          <w:p w14:paraId="0100C19D" w14:textId="5C185D03"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Inner South East (The Alfred)</w:t>
            </w:r>
          </w:p>
        </w:tc>
        <w:tc>
          <w:tcPr>
            <w:tcW w:w="1108" w:type="dxa"/>
            <w:shd w:val="clear" w:color="auto" w:fill="BFCED6"/>
          </w:tcPr>
          <w:p w14:paraId="151043CF" w14:textId="1681A3DC" w:rsidR="00AC5C83" w:rsidRPr="00BF031D" w:rsidRDefault="00AC5C83" w:rsidP="00AC5C83">
            <w:pPr>
              <w:jc w:val="center"/>
              <w:rPr>
                <w:rFonts w:ascii="VIC" w:hAnsi="VIC"/>
                <w:sz w:val="18"/>
                <w:szCs w:val="18"/>
              </w:rPr>
            </w:pPr>
            <w:r w:rsidRPr="001E2423">
              <w:rPr>
                <w:rFonts w:ascii="VIC" w:eastAsia="Verdana" w:hAnsi="VIC"/>
                <w:color w:val="000000"/>
                <w:sz w:val="18"/>
                <w:szCs w:val="18"/>
              </w:rPr>
              <w:t>30 %</w:t>
            </w:r>
          </w:p>
        </w:tc>
        <w:tc>
          <w:tcPr>
            <w:tcW w:w="1108" w:type="dxa"/>
            <w:shd w:val="clear" w:color="auto" w:fill="BFCED6"/>
          </w:tcPr>
          <w:p w14:paraId="2C061047" w14:textId="43824EB4" w:rsidR="00AC5C83" w:rsidRPr="00BF031D" w:rsidRDefault="00AC5C83" w:rsidP="00AC5C83">
            <w:pPr>
              <w:jc w:val="center"/>
              <w:rPr>
                <w:rFonts w:ascii="VIC" w:hAnsi="VIC"/>
                <w:sz w:val="18"/>
                <w:szCs w:val="18"/>
              </w:rPr>
            </w:pPr>
            <w:r w:rsidRPr="001E2423">
              <w:rPr>
                <w:rFonts w:ascii="VIC" w:eastAsia="Verdana" w:hAnsi="VIC"/>
                <w:color w:val="000000"/>
                <w:sz w:val="18"/>
                <w:szCs w:val="18"/>
              </w:rPr>
              <w:t>80 %</w:t>
            </w:r>
          </w:p>
        </w:tc>
        <w:tc>
          <w:tcPr>
            <w:tcW w:w="1108" w:type="dxa"/>
            <w:shd w:val="clear" w:color="auto" w:fill="BFCED6"/>
          </w:tcPr>
          <w:p w14:paraId="041CEAD1" w14:textId="4B1A7335" w:rsidR="00AC5C83" w:rsidRPr="00BF031D" w:rsidRDefault="00AC5C83" w:rsidP="00AC5C83">
            <w:pPr>
              <w:jc w:val="center"/>
              <w:rPr>
                <w:rFonts w:ascii="VIC" w:hAnsi="VIC"/>
                <w:sz w:val="18"/>
                <w:szCs w:val="18"/>
              </w:rPr>
            </w:pPr>
            <w:r w:rsidRPr="001E2423">
              <w:rPr>
                <w:rFonts w:ascii="VIC" w:eastAsia="Verdana" w:hAnsi="VIC"/>
                <w:color w:val="000000"/>
                <w:sz w:val="18"/>
                <w:szCs w:val="18"/>
              </w:rPr>
              <w:t>9 %</w:t>
            </w:r>
          </w:p>
        </w:tc>
        <w:tc>
          <w:tcPr>
            <w:tcW w:w="1108" w:type="dxa"/>
            <w:shd w:val="clear" w:color="auto" w:fill="BFCED6"/>
          </w:tcPr>
          <w:p w14:paraId="5F7A418A" w14:textId="51660BAB" w:rsidR="00AC5C83" w:rsidRPr="00BF031D" w:rsidRDefault="00AC5C83" w:rsidP="00AC5C83">
            <w:pPr>
              <w:jc w:val="center"/>
              <w:rPr>
                <w:rFonts w:ascii="VIC" w:hAnsi="VIC"/>
                <w:sz w:val="18"/>
                <w:szCs w:val="18"/>
              </w:rPr>
            </w:pPr>
            <w:r w:rsidRPr="001E2423">
              <w:rPr>
                <w:rFonts w:ascii="VIC" w:eastAsia="Verdana" w:hAnsi="VIC"/>
                <w:color w:val="000000"/>
                <w:sz w:val="18"/>
                <w:szCs w:val="18"/>
              </w:rPr>
              <w:t>324.7</w:t>
            </w:r>
          </w:p>
        </w:tc>
        <w:tc>
          <w:tcPr>
            <w:tcW w:w="1108" w:type="dxa"/>
            <w:shd w:val="clear" w:color="auto" w:fill="BFCED6"/>
          </w:tcPr>
          <w:p w14:paraId="34BFA05C" w14:textId="243C7193" w:rsidR="00AC5C83" w:rsidRPr="00BF031D" w:rsidRDefault="00AC5C83" w:rsidP="00AC5C83">
            <w:pPr>
              <w:jc w:val="center"/>
              <w:rPr>
                <w:rFonts w:ascii="VIC" w:hAnsi="VIC"/>
                <w:sz w:val="18"/>
                <w:szCs w:val="18"/>
              </w:rPr>
            </w:pPr>
            <w:r w:rsidRPr="001E2423">
              <w:rPr>
                <w:rFonts w:ascii="VIC" w:eastAsia="Verdana" w:hAnsi="VIC"/>
                <w:color w:val="000000"/>
                <w:sz w:val="18"/>
                <w:szCs w:val="18"/>
              </w:rPr>
              <w:t>5.7</w:t>
            </w:r>
          </w:p>
        </w:tc>
        <w:tc>
          <w:tcPr>
            <w:tcW w:w="1109" w:type="dxa"/>
            <w:shd w:val="clear" w:color="auto" w:fill="BFCED6"/>
          </w:tcPr>
          <w:p w14:paraId="7FAB3BFC" w14:textId="012FCA11" w:rsidR="00AC5C83" w:rsidRPr="00BF031D" w:rsidRDefault="00AC5C83" w:rsidP="00AC5C83">
            <w:pPr>
              <w:jc w:val="center"/>
              <w:rPr>
                <w:rFonts w:ascii="VIC" w:hAnsi="VIC"/>
                <w:sz w:val="18"/>
                <w:szCs w:val="18"/>
              </w:rPr>
            </w:pPr>
            <w:r w:rsidRPr="001E2423">
              <w:rPr>
                <w:rFonts w:ascii="VIC" w:eastAsia="Verdana" w:hAnsi="VIC"/>
                <w:color w:val="000000"/>
                <w:sz w:val="18"/>
                <w:szCs w:val="18"/>
              </w:rPr>
              <w:t>41 %</w:t>
            </w:r>
          </w:p>
        </w:tc>
        <w:tc>
          <w:tcPr>
            <w:tcW w:w="1108" w:type="dxa"/>
            <w:shd w:val="clear" w:color="auto" w:fill="BFCED6"/>
          </w:tcPr>
          <w:p w14:paraId="67291FFA" w14:textId="21F5FB38" w:rsidR="00AC5C83" w:rsidRPr="00BF031D" w:rsidRDefault="00AC5C83" w:rsidP="00AC5C83">
            <w:pPr>
              <w:jc w:val="center"/>
              <w:rPr>
                <w:rFonts w:ascii="VIC" w:hAnsi="VIC"/>
                <w:sz w:val="18"/>
                <w:szCs w:val="18"/>
              </w:rPr>
            </w:pPr>
            <w:r w:rsidRPr="001E2423">
              <w:rPr>
                <w:rFonts w:ascii="VIC" w:eastAsia="Verdana" w:hAnsi="VIC"/>
                <w:color w:val="000000"/>
                <w:sz w:val="18"/>
                <w:szCs w:val="18"/>
              </w:rPr>
              <w:t>16.3</w:t>
            </w:r>
          </w:p>
        </w:tc>
        <w:tc>
          <w:tcPr>
            <w:tcW w:w="1108" w:type="dxa"/>
            <w:shd w:val="clear" w:color="auto" w:fill="BFCED6"/>
          </w:tcPr>
          <w:p w14:paraId="2FBCB1EF" w14:textId="201360F9" w:rsidR="00AC5C83" w:rsidRPr="00BF031D" w:rsidRDefault="00AC5C83" w:rsidP="00AC5C83">
            <w:pPr>
              <w:jc w:val="center"/>
              <w:rPr>
                <w:rFonts w:ascii="VIC" w:hAnsi="VIC"/>
                <w:sz w:val="18"/>
                <w:szCs w:val="18"/>
              </w:rPr>
            </w:pPr>
            <w:r w:rsidRPr="001E2423">
              <w:rPr>
                <w:rFonts w:ascii="VIC" w:eastAsia="Verdana" w:hAnsi="VIC"/>
                <w:color w:val="000000"/>
                <w:sz w:val="18"/>
                <w:szCs w:val="18"/>
              </w:rPr>
              <w:t>54 %</w:t>
            </w:r>
          </w:p>
        </w:tc>
        <w:tc>
          <w:tcPr>
            <w:tcW w:w="1108" w:type="dxa"/>
            <w:shd w:val="clear" w:color="auto" w:fill="BFCED6"/>
          </w:tcPr>
          <w:p w14:paraId="7502D7D1" w14:textId="067992C6" w:rsidR="00AC5C83" w:rsidRPr="00BF031D" w:rsidRDefault="00AC5C83" w:rsidP="00AC5C83">
            <w:pPr>
              <w:jc w:val="center"/>
              <w:rPr>
                <w:rFonts w:ascii="VIC" w:hAnsi="VIC"/>
                <w:sz w:val="18"/>
                <w:szCs w:val="18"/>
              </w:rPr>
            </w:pPr>
            <w:r w:rsidRPr="001E2423">
              <w:rPr>
                <w:rFonts w:ascii="VIC" w:eastAsia="Verdana" w:hAnsi="VIC"/>
                <w:color w:val="000000"/>
                <w:sz w:val="18"/>
                <w:szCs w:val="18"/>
              </w:rPr>
              <w:t>3 %</w:t>
            </w:r>
          </w:p>
        </w:tc>
        <w:tc>
          <w:tcPr>
            <w:tcW w:w="1108" w:type="dxa"/>
            <w:shd w:val="clear" w:color="auto" w:fill="BFCED6"/>
          </w:tcPr>
          <w:p w14:paraId="091E5D66" w14:textId="0A28B1D1" w:rsidR="00AC5C83" w:rsidRPr="00BF031D" w:rsidRDefault="00AC5C83" w:rsidP="00AC5C83">
            <w:pPr>
              <w:jc w:val="center"/>
              <w:rPr>
                <w:rFonts w:ascii="VIC" w:hAnsi="VIC"/>
                <w:sz w:val="18"/>
                <w:szCs w:val="18"/>
              </w:rPr>
            </w:pPr>
            <w:r w:rsidRPr="001E2423">
              <w:rPr>
                <w:rFonts w:ascii="VIC" w:eastAsia="Verdana" w:hAnsi="VIC"/>
                <w:color w:val="000000"/>
                <w:sz w:val="18"/>
                <w:szCs w:val="18"/>
              </w:rPr>
              <w:t>1.0</w:t>
            </w:r>
          </w:p>
        </w:tc>
        <w:tc>
          <w:tcPr>
            <w:tcW w:w="1109" w:type="dxa"/>
            <w:shd w:val="clear" w:color="auto" w:fill="BFCED6"/>
          </w:tcPr>
          <w:p w14:paraId="6CF1B7E4" w14:textId="15A91FE8" w:rsidR="00AC5C83" w:rsidRPr="00BF031D" w:rsidRDefault="00AC5C83" w:rsidP="00AC5C83">
            <w:pPr>
              <w:jc w:val="center"/>
              <w:rPr>
                <w:rFonts w:ascii="VIC" w:hAnsi="VIC"/>
                <w:sz w:val="18"/>
                <w:szCs w:val="18"/>
              </w:rPr>
            </w:pPr>
            <w:r w:rsidRPr="001E2423">
              <w:rPr>
                <w:rFonts w:ascii="VIC" w:eastAsia="Verdana" w:hAnsi="VIC"/>
                <w:color w:val="000000"/>
                <w:sz w:val="18"/>
                <w:szCs w:val="18"/>
              </w:rPr>
              <w:t>37 %</w:t>
            </w:r>
          </w:p>
        </w:tc>
      </w:tr>
      <w:tr w:rsidR="00AC5C83" w:rsidRPr="00BF031D" w14:paraId="5B268470" w14:textId="77777777" w:rsidTr="0067289E">
        <w:trPr>
          <w:trHeight w:val="454"/>
        </w:trPr>
        <w:tc>
          <w:tcPr>
            <w:tcW w:w="1570" w:type="dxa"/>
            <w:shd w:val="clear" w:color="auto" w:fill="auto"/>
          </w:tcPr>
          <w:p w14:paraId="408E7287" w14:textId="0656CF4C"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Austin Health</w:t>
            </w:r>
          </w:p>
        </w:tc>
        <w:tc>
          <w:tcPr>
            <w:tcW w:w="1985" w:type="dxa"/>
            <w:shd w:val="clear" w:color="auto" w:fill="auto"/>
          </w:tcPr>
          <w:p w14:paraId="33CC77D7" w14:textId="09E80C24"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North East (Austin)</w:t>
            </w:r>
          </w:p>
        </w:tc>
        <w:tc>
          <w:tcPr>
            <w:tcW w:w="1108" w:type="dxa"/>
            <w:shd w:val="clear" w:color="auto" w:fill="auto"/>
          </w:tcPr>
          <w:p w14:paraId="461E41EE" w14:textId="2AFC2CA6"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shd w:val="clear" w:color="auto" w:fill="auto"/>
          </w:tcPr>
          <w:p w14:paraId="11D4249A" w14:textId="508D2A3E" w:rsidR="00AC5C83" w:rsidRPr="00BF031D" w:rsidRDefault="00AC5C83" w:rsidP="00AC5C83">
            <w:pPr>
              <w:jc w:val="center"/>
              <w:rPr>
                <w:rFonts w:ascii="VIC" w:hAnsi="VIC"/>
                <w:sz w:val="18"/>
                <w:szCs w:val="18"/>
              </w:rPr>
            </w:pPr>
            <w:r w:rsidRPr="001E2423">
              <w:rPr>
                <w:rFonts w:ascii="VIC" w:eastAsia="Verdana" w:hAnsi="VIC"/>
                <w:color w:val="000000"/>
                <w:sz w:val="18"/>
                <w:szCs w:val="18"/>
              </w:rPr>
              <w:t>94 %</w:t>
            </w:r>
          </w:p>
        </w:tc>
        <w:tc>
          <w:tcPr>
            <w:tcW w:w="1108" w:type="dxa"/>
          </w:tcPr>
          <w:p w14:paraId="2EC62FA4" w14:textId="0B890A9A" w:rsidR="00AC5C83" w:rsidRPr="00BF031D" w:rsidRDefault="00AC5C83" w:rsidP="00AC5C83">
            <w:pPr>
              <w:jc w:val="center"/>
              <w:rPr>
                <w:rFonts w:ascii="VIC" w:hAnsi="VIC"/>
                <w:sz w:val="18"/>
                <w:szCs w:val="18"/>
              </w:rPr>
            </w:pPr>
            <w:r w:rsidRPr="001E2423">
              <w:rPr>
                <w:rFonts w:ascii="VIC" w:eastAsia="Verdana" w:hAnsi="VIC"/>
                <w:color w:val="000000"/>
                <w:sz w:val="18"/>
                <w:szCs w:val="18"/>
              </w:rPr>
              <w:t>21 %</w:t>
            </w:r>
          </w:p>
        </w:tc>
        <w:tc>
          <w:tcPr>
            <w:tcW w:w="1108" w:type="dxa"/>
          </w:tcPr>
          <w:p w14:paraId="2C6C27B4" w14:textId="79C62D34" w:rsidR="00AC5C83" w:rsidRPr="00BF031D" w:rsidRDefault="00AC5C83" w:rsidP="00AC5C83">
            <w:pPr>
              <w:jc w:val="center"/>
              <w:rPr>
                <w:rFonts w:ascii="VIC" w:hAnsi="VIC"/>
                <w:sz w:val="18"/>
                <w:szCs w:val="18"/>
              </w:rPr>
            </w:pPr>
            <w:r w:rsidRPr="001E2423">
              <w:rPr>
                <w:rFonts w:ascii="VIC" w:eastAsia="Verdana" w:hAnsi="VIC"/>
                <w:color w:val="000000"/>
                <w:sz w:val="18"/>
                <w:szCs w:val="18"/>
              </w:rPr>
              <w:t>193.3</w:t>
            </w:r>
          </w:p>
        </w:tc>
        <w:tc>
          <w:tcPr>
            <w:tcW w:w="1108" w:type="dxa"/>
          </w:tcPr>
          <w:p w14:paraId="2CD54424" w14:textId="03878171" w:rsidR="00AC5C83" w:rsidRPr="00BF031D" w:rsidRDefault="00AC5C83" w:rsidP="00AC5C83">
            <w:pPr>
              <w:jc w:val="center"/>
              <w:rPr>
                <w:rFonts w:ascii="VIC" w:hAnsi="VIC"/>
                <w:sz w:val="18"/>
                <w:szCs w:val="18"/>
              </w:rPr>
            </w:pPr>
            <w:r w:rsidRPr="001E2423">
              <w:rPr>
                <w:rFonts w:ascii="VIC" w:eastAsia="Verdana" w:hAnsi="VIC"/>
                <w:color w:val="000000"/>
                <w:sz w:val="18"/>
                <w:szCs w:val="18"/>
              </w:rPr>
              <w:t>6.3</w:t>
            </w:r>
          </w:p>
        </w:tc>
        <w:tc>
          <w:tcPr>
            <w:tcW w:w="1109" w:type="dxa"/>
            <w:shd w:val="clear" w:color="auto" w:fill="auto"/>
          </w:tcPr>
          <w:p w14:paraId="128CD2F5" w14:textId="6A24C91E" w:rsidR="00AC5C83" w:rsidRPr="00BF031D" w:rsidRDefault="00AC5C83" w:rsidP="00AC5C83">
            <w:pPr>
              <w:jc w:val="center"/>
              <w:rPr>
                <w:rFonts w:ascii="VIC" w:hAnsi="VIC"/>
                <w:sz w:val="18"/>
                <w:szCs w:val="18"/>
              </w:rPr>
            </w:pPr>
            <w:r w:rsidRPr="001E2423">
              <w:rPr>
                <w:rFonts w:ascii="VIC" w:eastAsia="Verdana" w:hAnsi="VIC"/>
                <w:color w:val="000000"/>
                <w:sz w:val="18"/>
                <w:szCs w:val="18"/>
              </w:rPr>
              <w:t>52 %</w:t>
            </w:r>
          </w:p>
        </w:tc>
        <w:tc>
          <w:tcPr>
            <w:tcW w:w="1108" w:type="dxa"/>
            <w:shd w:val="clear" w:color="auto" w:fill="auto"/>
          </w:tcPr>
          <w:p w14:paraId="3F85BE85" w14:textId="7CBB370A" w:rsidR="00AC5C83" w:rsidRPr="00BF031D" w:rsidRDefault="00AC5C83" w:rsidP="00AC5C83">
            <w:pPr>
              <w:jc w:val="center"/>
              <w:rPr>
                <w:rFonts w:ascii="VIC" w:hAnsi="VIC"/>
                <w:sz w:val="18"/>
                <w:szCs w:val="18"/>
              </w:rPr>
            </w:pPr>
            <w:r w:rsidRPr="001E2423">
              <w:rPr>
                <w:rFonts w:ascii="VIC" w:eastAsia="Verdana" w:hAnsi="VIC"/>
                <w:color w:val="000000"/>
                <w:sz w:val="18"/>
                <w:szCs w:val="18"/>
              </w:rPr>
              <w:t>16.9</w:t>
            </w:r>
          </w:p>
        </w:tc>
        <w:tc>
          <w:tcPr>
            <w:tcW w:w="1108" w:type="dxa"/>
            <w:shd w:val="clear" w:color="auto" w:fill="auto"/>
          </w:tcPr>
          <w:p w14:paraId="08EAD308" w14:textId="4468C68F" w:rsidR="00AC5C83" w:rsidRPr="00BF031D" w:rsidRDefault="00AC5C83" w:rsidP="00AC5C83">
            <w:pPr>
              <w:jc w:val="center"/>
              <w:rPr>
                <w:rFonts w:ascii="VIC" w:hAnsi="VIC"/>
                <w:sz w:val="18"/>
                <w:szCs w:val="18"/>
              </w:rPr>
            </w:pPr>
            <w:r w:rsidRPr="001E2423">
              <w:rPr>
                <w:rFonts w:ascii="VIC" w:eastAsia="Verdana" w:hAnsi="VIC"/>
                <w:color w:val="000000"/>
                <w:sz w:val="18"/>
                <w:szCs w:val="18"/>
              </w:rPr>
              <w:t>38 %</w:t>
            </w:r>
          </w:p>
        </w:tc>
        <w:tc>
          <w:tcPr>
            <w:tcW w:w="1108" w:type="dxa"/>
            <w:shd w:val="clear" w:color="auto" w:fill="auto"/>
          </w:tcPr>
          <w:p w14:paraId="33AE7DCC" w14:textId="599CE0E7" w:rsidR="00AC5C83" w:rsidRPr="00BF031D" w:rsidRDefault="00AC5C83" w:rsidP="00AC5C83">
            <w:pPr>
              <w:jc w:val="center"/>
              <w:rPr>
                <w:rFonts w:ascii="VIC" w:hAnsi="VIC"/>
                <w:sz w:val="18"/>
                <w:szCs w:val="18"/>
              </w:rPr>
            </w:pPr>
            <w:r w:rsidRPr="001E2423">
              <w:rPr>
                <w:rFonts w:ascii="VIC" w:eastAsia="Verdana" w:hAnsi="VIC"/>
                <w:color w:val="000000"/>
                <w:sz w:val="18"/>
                <w:szCs w:val="18"/>
              </w:rPr>
              <w:t>32 %</w:t>
            </w:r>
          </w:p>
        </w:tc>
        <w:tc>
          <w:tcPr>
            <w:tcW w:w="1108" w:type="dxa"/>
            <w:shd w:val="clear" w:color="auto" w:fill="auto"/>
          </w:tcPr>
          <w:p w14:paraId="481CD52C" w14:textId="58FC43D8" w:rsidR="00AC5C83" w:rsidRPr="00BF031D" w:rsidRDefault="00AC5C83" w:rsidP="00AC5C83">
            <w:pPr>
              <w:jc w:val="center"/>
              <w:rPr>
                <w:rFonts w:ascii="VIC" w:hAnsi="VIC"/>
                <w:sz w:val="18"/>
                <w:szCs w:val="18"/>
              </w:rPr>
            </w:pPr>
            <w:r w:rsidRPr="001E2423">
              <w:rPr>
                <w:rFonts w:ascii="VIC" w:eastAsia="Verdana" w:hAnsi="VIC"/>
                <w:color w:val="000000"/>
                <w:sz w:val="18"/>
                <w:szCs w:val="18"/>
              </w:rPr>
              <w:t>1.0</w:t>
            </w:r>
          </w:p>
        </w:tc>
        <w:tc>
          <w:tcPr>
            <w:tcW w:w="1109" w:type="dxa"/>
            <w:shd w:val="clear" w:color="auto" w:fill="auto"/>
          </w:tcPr>
          <w:p w14:paraId="152ADF90" w14:textId="492F9D71" w:rsidR="00AC5C83" w:rsidRPr="00BF031D" w:rsidRDefault="00AC5C83" w:rsidP="00AC5C83">
            <w:pPr>
              <w:jc w:val="center"/>
              <w:rPr>
                <w:rFonts w:ascii="VIC" w:hAnsi="VIC"/>
                <w:sz w:val="18"/>
                <w:szCs w:val="18"/>
              </w:rPr>
            </w:pPr>
            <w:r w:rsidRPr="001E2423">
              <w:rPr>
                <w:rFonts w:ascii="VIC" w:eastAsia="Verdana" w:hAnsi="VIC"/>
                <w:color w:val="000000"/>
                <w:sz w:val="18"/>
                <w:szCs w:val="18"/>
              </w:rPr>
              <w:t>15 %</w:t>
            </w:r>
          </w:p>
        </w:tc>
      </w:tr>
      <w:tr w:rsidR="00AC5C83" w:rsidRPr="00BF031D" w14:paraId="6FB30FDB" w14:textId="77777777" w:rsidTr="0067289E">
        <w:trPr>
          <w:trHeight w:val="454"/>
        </w:trPr>
        <w:tc>
          <w:tcPr>
            <w:tcW w:w="1570" w:type="dxa"/>
            <w:shd w:val="clear" w:color="auto" w:fill="BFCED6"/>
          </w:tcPr>
          <w:p w14:paraId="5A6B6AA4" w14:textId="1F4CBCE7"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Eastern Health</w:t>
            </w:r>
          </w:p>
        </w:tc>
        <w:tc>
          <w:tcPr>
            <w:tcW w:w="1985" w:type="dxa"/>
            <w:shd w:val="clear" w:color="auto" w:fill="BFCED6"/>
          </w:tcPr>
          <w:p w14:paraId="65E6FCE7" w14:textId="7FF376A2"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Eastern CYMHS</w:t>
            </w:r>
          </w:p>
        </w:tc>
        <w:tc>
          <w:tcPr>
            <w:tcW w:w="1108" w:type="dxa"/>
            <w:shd w:val="clear" w:color="auto" w:fill="BFCED6"/>
          </w:tcPr>
          <w:p w14:paraId="69811643" w14:textId="40B98131" w:rsidR="00AC5C83" w:rsidRPr="00BF031D" w:rsidRDefault="00AC5C83" w:rsidP="00AC5C83">
            <w:pPr>
              <w:jc w:val="center"/>
              <w:rPr>
                <w:rFonts w:ascii="VIC" w:hAnsi="VIC"/>
                <w:sz w:val="18"/>
                <w:szCs w:val="18"/>
              </w:rPr>
            </w:pPr>
            <w:r w:rsidRPr="001E2423">
              <w:rPr>
                <w:rFonts w:ascii="VIC" w:eastAsia="Verdana" w:hAnsi="VIC"/>
                <w:color w:val="000000"/>
                <w:sz w:val="18"/>
                <w:szCs w:val="18"/>
              </w:rPr>
              <w:t>53 %</w:t>
            </w:r>
          </w:p>
        </w:tc>
        <w:tc>
          <w:tcPr>
            <w:tcW w:w="1108" w:type="dxa"/>
            <w:shd w:val="clear" w:color="auto" w:fill="BFCED6"/>
          </w:tcPr>
          <w:p w14:paraId="183FFB35" w14:textId="75E0D888" w:rsidR="00AC5C83" w:rsidRPr="00BF031D" w:rsidRDefault="00AC5C83" w:rsidP="00AC5C83">
            <w:pPr>
              <w:jc w:val="center"/>
              <w:rPr>
                <w:rFonts w:ascii="VIC" w:hAnsi="VIC"/>
                <w:sz w:val="18"/>
                <w:szCs w:val="18"/>
              </w:rPr>
            </w:pPr>
            <w:r w:rsidRPr="001E2423">
              <w:rPr>
                <w:rFonts w:ascii="VIC" w:eastAsia="Verdana" w:hAnsi="VIC"/>
                <w:color w:val="000000"/>
                <w:sz w:val="18"/>
                <w:szCs w:val="18"/>
              </w:rPr>
              <w:t>96 %</w:t>
            </w:r>
          </w:p>
        </w:tc>
        <w:tc>
          <w:tcPr>
            <w:tcW w:w="1108" w:type="dxa"/>
            <w:shd w:val="clear" w:color="auto" w:fill="BFCED6"/>
          </w:tcPr>
          <w:p w14:paraId="1D7CC539" w14:textId="1E223937" w:rsidR="00AC5C83" w:rsidRPr="00BF031D" w:rsidRDefault="00AC5C83" w:rsidP="00AC5C83">
            <w:pPr>
              <w:jc w:val="center"/>
              <w:rPr>
                <w:rFonts w:ascii="VIC" w:hAnsi="VIC"/>
                <w:sz w:val="18"/>
                <w:szCs w:val="18"/>
              </w:rPr>
            </w:pPr>
            <w:r w:rsidRPr="001E2423">
              <w:rPr>
                <w:rFonts w:ascii="VIC" w:eastAsia="Verdana" w:hAnsi="VIC"/>
                <w:color w:val="000000"/>
                <w:sz w:val="18"/>
                <w:szCs w:val="18"/>
              </w:rPr>
              <w:t>9 %</w:t>
            </w:r>
          </w:p>
        </w:tc>
        <w:tc>
          <w:tcPr>
            <w:tcW w:w="1108" w:type="dxa"/>
            <w:shd w:val="clear" w:color="auto" w:fill="BFCED6"/>
          </w:tcPr>
          <w:p w14:paraId="3147D521" w14:textId="01D843A7" w:rsidR="00AC5C83" w:rsidRPr="00BF031D" w:rsidRDefault="00AC5C83" w:rsidP="00AC5C83">
            <w:pPr>
              <w:jc w:val="center"/>
              <w:rPr>
                <w:rFonts w:ascii="VIC" w:hAnsi="VIC"/>
                <w:sz w:val="18"/>
                <w:szCs w:val="18"/>
              </w:rPr>
            </w:pPr>
            <w:r w:rsidRPr="001E2423">
              <w:rPr>
                <w:rFonts w:ascii="VIC" w:eastAsia="Verdana" w:hAnsi="VIC"/>
                <w:color w:val="000000"/>
                <w:sz w:val="18"/>
                <w:szCs w:val="18"/>
              </w:rPr>
              <w:t>317.1</w:t>
            </w:r>
          </w:p>
        </w:tc>
        <w:tc>
          <w:tcPr>
            <w:tcW w:w="1108" w:type="dxa"/>
            <w:shd w:val="clear" w:color="auto" w:fill="BFCED6"/>
          </w:tcPr>
          <w:p w14:paraId="06916B3B" w14:textId="2BF6DAFC" w:rsidR="00AC5C83" w:rsidRPr="00BF031D" w:rsidRDefault="00AC5C83" w:rsidP="00AC5C83">
            <w:pPr>
              <w:jc w:val="center"/>
              <w:rPr>
                <w:rFonts w:ascii="VIC" w:hAnsi="VIC"/>
                <w:sz w:val="18"/>
                <w:szCs w:val="18"/>
              </w:rPr>
            </w:pPr>
            <w:r w:rsidRPr="001E2423">
              <w:rPr>
                <w:rFonts w:ascii="VIC" w:eastAsia="Verdana" w:hAnsi="VIC"/>
                <w:color w:val="000000"/>
                <w:sz w:val="18"/>
                <w:szCs w:val="18"/>
              </w:rPr>
              <w:t>8.3</w:t>
            </w:r>
          </w:p>
        </w:tc>
        <w:tc>
          <w:tcPr>
            <w:tcW w:w="1109" w:type="dxa"/>
            <w:shd w:val="clear" w:color="auto" w:fill="BFCED6"/>
          </w:tcPr>
          <w:p w14:paraId="6994E530" w14:textId="69AC9957" w:rsidR="00AC5C83" w:rsidRPr="00BF031D" w:rsidRDefault="00AC5C83" w:rsidP="00AC5C83">
            <w:pPr>
              <w:jc w:val="center"/>
              <w:rPr>
                <w:rFonts w:ascii="VIC" w:hAnsi="VIC"/>
                <w:sz w:val="18"/>
                <w:szCs w:val="18"/>
              </w:rPr>
            </w:pPr>
            <w:r w:rsidRPr="001E2423">
              <w:rPr>
                <w:rFonts w:ascii="VIC" w:eastAsia="Verdana" w:hAnsi="VIC"/>
                <w:color w:val="000000"/>
                <w:sz w:val="18"/>
                <w:szCs w:val="18"/>
              </w:rPr>
              <w:t>86 %</w:t>
            </w:r>
          </w:p>
        </w:tc>
        <w:tc>
          <w:tcPr>
            <w:tcW w:w="1108" w:type="dxa"/>
            <w:shd w:val="clear" w:color="auto" w:fill="BFCED6"/>
          </w:tcPr>
          <w:p w14:paraId="1029407A" w14:textId="5CF1C28F" w:rsidR="00AC5C83" w:rsidRPr="00BF031D" w:rsidRDefault="00AC5C83" w:rsidP="00AC5C83">
            <w:pPr>
              <w:jc w:val="center"/>
              <w:rPr>
                <w:rFonts w:ascii="VIC" w:hAnsi="VIC"/>
                <w:sz w:val="18"/>
                <w:szCs w:val="18"/>
              </w:rPr>
            </w:pPr>
            <w:r w:rsidRPr="001E2423">
              <w:rPr>
                <w:rFonts w:ascii="VIC" w:eastAsia="Verdana" w:hAnsi="VIC"/>
                <w:color w:val="000000"/>
                <w:sz w:val="18"/>
                <w:szCs w:val="18"/>
              </w:rPr>
              <w:t>19.1</w:t>
            </w:r>
          </w:p>
        </w:tc>
        <w:tc>
          <w:tcPr>
            <w:tcW w:w="1108" w:type="dxa"/>
            <w:shd w:val="clear" w:color="auto" w:fill="BFCED6"/>
          </w:tcPr>
          <w:p w14:paraId="199B3A3A" w14:textId="455044B9" w:rsidR="00AC5C83" w:rsidRPr="00BF031D" w:rsidRDefault="00AC5C83" w:rsidP="00AC5C83">
            <w:pPr>
              <w:jc w:val="center"/>
              <w:rPr>
                <w:rFonts w:ascii="VIC" w:hAnsi="VIC"/>
                <w:sz w:val="18"/>
                <w:szCs w:val="18"/>
              </w:rPr>
            </w:pPr>
            <w:r w:rsidRPr="001E2423">
              <w:rPr>
                <w:rFonts w:ascii="VIC" w:eastAsia="Verdana" w:hAnsi="VIC"/>
                <w:color w:val="000000"/>
                <w:sz w:val="18"/>
                <w:szCs w:val="18"/>
              </w:rPr>
              <w:t>52 %</w:t>
            </w:r>
          </w:p>
        </w:tc>
        <w:tc>
          <w:tcPr>
            <w:tcW w:w="1108" w:type="dxa"/>
            <w:shd w:val="clear" w:color="auto" w:fill="BFCED6"/>
          </w:tcPr>
          <w:p w14:paraId="7315757F" w14:textId="66F47EC2" w:rsidR="00AC5C83" w:rsidRPr="00BF031D" w:rsidRDefault="00AC5C83" w:rsidP="00AC5C83">
            <w:pPr>
              <w:jc w:val="center"/>
              <w:rPr>
                <w:rFonts w:ascii="VIC" w:hAnsi="VIC"/>
                <w:sz w:val="18"/>
                <w:szCs w:val="18"/>
              </w:rPr>
            </w:pPr>
            <w:r w:rsidRPr="001E2423">
              <w:rPr>
                <w:rFonts w:ascii="VIC" w:eastAsia="Verdana" w:hAnsi="VIC"/>
                <w:color w:val="000000"/>
                <w:sz w:val="18"/>
                <w:szCs w:val="18"/>
              </w:rPr>
              <w:t>28 %</w:t>
            </w:r>
          </w:p>
        </w:tc>
        <w:tc>
          <w:tcPr>
            <w:tcW w:w="1108" w:type="dxa"/>
            <w:shd w:val="clear" w:color="auto" w:fill="BFCED6"/>
          </w:tcPr>
          <w:p w14:paraId="19496C58" w14:textId="0B8C5CC6" w:rsidR="00AC5C83" w:rsidRPr="00BF031D" w:rsidRDefault="00AC5C83" w:rsidP="00AC5C83">
            <w:pPr>
              <w:jc w:val="center"/>
              <w:rPr>
                <w:rFonts w:ascii="VIC" w:hAnsi="VIC"/>
                <w:sz w:val="18"/>
                <w:szCs w:val="18"/>
              </w:rPr>
            </w:pPr>
            <w:r w:rsidRPr="001E2423">
              <w:rPr>
                <w:rFonts w:ascii="VIC" w:eastAsia="Verdana" w:hAnsi="VIC"/>
                <w:color w:val="000000"/>
                <w:sz w:val="18"/>
                <w:szCs w:val="18"/>
              </w:rPr>
              <w:t>1.4</w:t>
            </w:r>
          </w:p>
        </w:tc>
        <w:tc>
          <w:tcPr>
            <w:tcW w:w="1109" w:type="dxa"/>
            <w:shd w:val="clear" w:color="auto" w:fill="BFCED6"/>
          </w:tcPr>
          <w:p w14:paraId="30CE3254" w14:textId="190BA2D6" w:rsidR="00AC5C83" w:rsidRPr="00BF031D" w:rsidRDefault="00AC5C83" w:rsidP="00AC5C83">
            <w:pPr>
              <w:jc w:val="center"/>
              <w:rPr>
                <w:rFonts w:ascii="VIC" w:hAnsi="VIC"/>
                <w:sz w:val="18"/>
                <w:szCs w:val="18"/>
              </w:rPr>
            </w:pPr>
            <w:r w:rsidRPr="001E2423">
              <w:rPr>
                <w:rFonts w:ascii="VIC" w:eastAsia="Verdana" w:hAnsi="VIC"/>
                <w:color w:val="000000"/>
                <w:sz w:val="18"/>
                <w:szCs w:val="18"/>
              </w:rPr>
              <w:t>21 %</w:t>
            </w:r>
          </w:p>
        </w:tc>
      </w:tr>
      <w:tr w:rsidR="00AC5C83" w:rsidRPr="00BF031D" w14:paraId="0564D9C4" w14:textId="77777777" w:rsidTr="0067289E">
        <w:trPr>
          <w:trHeight w:val="454"/>
        </w:trPr>
        <w:tc>
          <w:tcPr>
            <w:tcW w:w="1570" w:type="dxa"/>
            <w:shd w:val="clear" w:color="auto" w:fill="auto"/>
          </w:tcPr>
          <w:p w14:paraId="496DA478" w14:textId="3E363A4F"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Melbourne Health</w:t>
            </w:r>
          </w:p>
        </w:tc>
        <w:tc>
          <w:tcPr>
            <w:tcW w:w="1985" w:type="dxa"/>
            <w:shd w:val="clear" w:color="auto" w:fill="auto"/>
          </w:tcPr>
          <w:p w14:paraId="0E4B591A" w14:textId="44FAF5AB"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Orygen Youth Health</w:t>
            </w:r>
          </w:p>
        </w:tc>
        <w:tc>
          <w:tcPr>
            <w:tcW w:w="1108" w:type="dxa"/>
            <w:shd w:val="clear" w:color="auto" w:fill="auto"/>
          </w:tcPr>
          <w:p w14:paraId="7BA5F530" w14:textId="6657EBC0" w:rsidR="00AC5C83" w:rsidRPr="00BF031D" w:rsidRDefault="00AC5C83" w:rsidP="00AC5C83">
            <w:pPr>
              <w:jc w:val="center"/>
              <w:rPr>
                <w:rFonts w:ascii="VIC" w:hAnsi="VIC"/>
                <w:sz w:val="18"/>
                <w:szCs w:val="18"/>
              </w:rPr>
            </w:pPr>
          </w:p>
        </w:tc>
        <w:tc>
          <w:tcPr>
            <w:tcW w:w="1108" w:type="dxa"/>
            <w:shd w:val="clear" w:color="auto" w:fill="auto"/>
          </w:tcPr>
          <w:p w14:paraId="28BC1BDD" w14:textId="56FDEC1D" w:rsidR="00AC5C83" w:rsidRPr="00BF031D" w:rsidRDefault="00AC5C83" w:rsidP="00AC5C83">
            <w:pPr>
              <w:jc w:val="center"/>
              <w:rPr>
                <w:rFonts w:ascii="VIC" w:hAnsi="VIC"/>
                <w:sz w:val="18"/>
                <w:szCs w:val="18"/>
              </w:rPr>
            </w:pPr>
          </w:p>
        </w:tc>
        <w:tc>
          <w:tcPr>
            <w:tcW w:w="1108" w:type="dxa"/>
          </w:tcPr>
          <w:p w14:paraId="5AEAF2C7" w14:textId="6677DEC8" w:rsidR="00AC5C83" w:rsidRPr="00BF031D" w:rsidRDefault="00AC5C83" w:rsidP="00AC5C83">
            <w:pPr>
              <w:jc w:val="center"/>
              <w:rPr>
                <w:rFonts w:ascii="VIC" w:hAnsi="VIC"/>
                <w:sz w:val="18"/>
                <w:szCs w:val="18"/>
              </w:rPr>
            </w:pPr>
            <w:r w:rsidRPr="001E2423">
              <w:rPr>
                <w:rFonts w:ascii="VIC" w:eastAsia="Verdana" w:hAnsi="VIC"/>
                <w:color w:val="000000"/>
                <w:sz w:val="18"/>
                <w:szCs w:val="18"/>
              </w:rPr>
              <w:t>62 %</w:t>
            </w:r>
          </w:p>
        </w:tc>
        <w:tc>
          <w:tcPr>
            <w:tcW w:w="1108" w:type="dxa"/>
          </w:tcPr>
          <w:p w14:paraId="36F42F24" w14:textId="6DDCC3C4" w:rsidR="00AC5C83" w:rsidRPr="00BF031D" w:rsidRDefault="00AC5C83" w:rsidP="00AC5C83">
            <w:pPr>
              <w:jc w:val="center"/>
              <w:rPr>
                <w:rFonts w:ascii="VIC" w:hAnsi="VIC"/>
                <w:sz w:val="18"/>
                <w:szCs w:val="18"/>
              </w:rPr>
            </w:pPr>
            <w:r w:rsidRPr="001E2423">
              <w:rPr>
                <w:rFonts w:ascii="VIC" w:eastAsia="Verdana" w:hAnsi="VIC"/>
                <w:color w:val="000000"/>
                <w:sz w:val="18"/>
                <w:szCs w:val="18"/>
              </w:rPr>
              <w:t>0.0</w:t>
            </w:r>
          </w:p>
        </w:tc>
        <w:tc>
          <w:tcPr>
            <w:tcW w:w="1108" w:type="dxa"/>
          </w:tcPr>
          <w:p w14:paraId="7E1AFC45" w14:textId="7D715656" w:rsidR="00AC5C83" w:rsidRPr="00BF031D" w:rsidRDefault="00AC5C83" w:rsidP="00AC5C83">
            <w:pPr>
              <w:jc w:val="center"/>
              <w:rPr>
                <w:rFonts w:ascii="VIC" w:hAnsi="VIC"/>
                <w:sz w:val="18"/>
                <w:szCs w:val="18"/>
              </w:rPr>
            </w:pPr>
            <w:r w:rsidRPr="001E2423">
              <w:rPr>
                <w:rFonts w:ascii="VIC" w:eastAsia="Verdana" w:hAnsi="VIC"/>
                <w:color w:val="000000"/>
                <w:sz w:val="18"/>
                <w:szCs w:val="18"/>
              </w:rPr>
              <w:t>0.0</w:t>
            </w:r>
          </w:p>
        </w:tc>
        <w:tc>
          <w:tcPr>
            <w:tcW w:w="1109" w:type="dxa"/>
            <w:shd w:val="clear" w:color="auto" w:fill="auto"/>
          </w:tcPr>
          <w:p w14:paraId="5385B6A4" w14:textId="76CFA412" w:rsidR="00AC5C83" w:rsidRPr="00BF031D" w:rsidRDefault="00AC5C83" w:rsidP="00AC5C83">
            <w:pPr>
              <w:jc w:val="center"/>
              <w:rPr>
                <w:rFonts w:ascii="VIC" w:hAnsi="VIC"/>
                <w:sz w:val="18"/>
                <w:szCs w:val="18"/>
              </w:rPr>
            </w:pPr>
          </w:p>
        </w:tc>
        <w:tc>
          <w:tcPr>
            <w:tcW w:w="1108" w:type="dxa"/>
            <w:shd w:val="clear" w:color="auto" w:fill="auto"/>
          </w:tcPr>
          <w:p w14:paraId="4BBC84C0" w14:textId="2C8EA152" w:rsidR="00AC5C83" w:rsidRPr="00BF031D" w:rsidRDefault="00AC5C83" w:rsidP="00AC5C83">
            <w:pPr>
              <w:jc w:val="center"/>
              <w:rPr>
                <w:rFonts w:ascii="VIC" w:hAnsi="VIC"/>
                <w:sz w:val="18"/>
                <w:szCs w:val="18"/>
              </w:rPr>
            </w:pPr>
          </w:p>
        </w:tc>
        <w:tc>
          <w:tcPr>
            <w:tcW w:w="1108" w:type="dxa"/>
            <w:shd w:val="clear" w:color="auto" w:fill="auto"/>
          </w:tcPr>
          <w:p w14:paraId="1A3D850E" w14:textId="48E8F869" w:rsidR="00AC5C83" w:rsidRPr="00BF031D" w:rsidRDefault="00AC5C83" w:rsidP="00AC5C83">
            <w:pPr>
              <w:jc w:val="center"/>
              <w:rPr>
                <w:rFonts w:ascii="VIC" w:hAnsi="VIC"/>
                <w:sz w:val="18"/>
                <w:szCs w:val="18"/>
              </w:rPr>
            </w:pPr>
          </w:p>
        </w:tc>
        <w:tc>
          <w:tcPr>
            <w:tcW w:w="1108" w:type="dxa"/>
            <w:shd w:val="clear" w:color="auto" w:fill="auto"/>
          </w:tcPr>
          <w:p w14:paraId="4526329E" w14:textId="608AD3B7" w:rsidR="00AC5C83" w:rsidRPr="00BF031D" w:rsidRDefault="00AC5C83" w:rsidP="00AC5C83">
            <w:pPr>
              <w:jc w:val="center"/>
              <w:rPr>
                <w:rFonts w:ascii="VIC" w:hAnsi="VIC"/>
                <w:sz w:val="18"/>
                <w:szCs w:val="18"/>
              </w:rPr>
            </w:pPr>
          </w:p>
        </w:tc>
        <w:tc>
          <w:tcPr>
            <w:tcW w:w="1108" w:type="dxa"/>
            <w:shd w:val="clear" w:color="auto" w:fill="auto"/>
          </w:tcPr>
          <w:p w14:paraId="6570AAA4" w14:textId="4D416349" w:rsidR="00AC5C83" w:rsidRPr="00BF031D" w:rsidRDefault="00AC5C83" w:rsidP="00AC5C83">
            <w:pPr>
              <w:jc w:val="center"/>
              <w:rPr>
                <w:rFonts w:ascii="VIC" w:hAnsi="VIC"/>
                <w:sz w:val="18"/>
                <w:szCs w:val="18"/>
              </w:rPr>
            </w:pPr>
          </w:p>
        </w:tc>
        <w:tc>
          <w:tcPr>
            <w:tcW w:w="1109" w:type="dxa"/>
            <w:shd w:val="clear" w:color="auto" w:fill="auto"/>
          </w:tcPr>
          <w:p w14:paraId="2E4F4E37" w14:textId="20783B2A" w:rsidR="00AC5C83" w:rsidRPr="00BF031D" w:rsidRDefault="00AC5C83" w:rsidP="00AC5C83">
            <w:pPr>
              <w:jc w:val="center"/>
              <w:rPr>
                <w:rFonts w:ascii="VIC" w:hAnsi="VIC"/>
                <w:sz w:val="18"/>
                <w:szCs w:val="18"/>
              </w:rPr>
            </w:pPr>
            <w:r w:rsidRPr="001E2423">
              <w:rPr>
                <w:rFonts w:ascii="VIC" w:eastAsia="Verdana" w:hAnsi="VIC"/>
                <w:color w:val="000000"/>
                <w:sz w:val="18"/>
                <w:szCs w:val="18"/>
              </w:rPr>
              <w:t>0 %</w:t>
            </w:r>
          </w:p>
        </w:tc>
      </w:tr>
      <w:tr w:rsidR="00AC5C83" w:rsidRPr="00BF031D" w14:paraId="2308CC5B" w14:textId="77777777" w:rsidTr="00D5403A">
        <w:trPr>
          <w:trHeight w:val="454"/>
        </w:trPr>
        <w:tc>
          <w:tcPr>
            <w:tcW w:w="1570" w:type="dxa"/>
            <w:tcBorders>
              <w:bottom w:val="single" w:sz="4" w:space="0" w:color="244C5A"/>
            </w:tcBorders>
            <w:shd w:val="clear" w:color="auto" w:fill="BFCED6"/>
          </w:tcPr>
          <w:p w14:paraId="67CB2523" w14:textId="0D089E75"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Monash Health</w:t>
            </w:r>
          </w:p>
        </w:tc>
        <w:tc>
          <w:tcPr>
            <w:tcW w:w="1985" w:type="dxa"/>
            <w:tcBorders>
              <w:bottom w:val="single" w:sz="4" w:space="0" w:color="244C5A"/>
            </w:tcBorders>
            <w:shd w:val="clear" w:color="auto" w:fill="BFCED6"/>
          </w:tcPr>
          <w:p w14:paraId="775CADD1" w14:textId="6E67F430"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South Eastern (Monash CAMHS)</w:t>
            </w:r>
          </w:p>
        </w:tc>
        <w:tc>
          <w:tcPr>
            <w:tcW w:w="1108" w:type="dxa"/>
            <w:tcBorders>
              <w:bottom w:val="single" w:sz="4" w:space="0" w:color="244C5A"/>
            </w:tcBorders>
            <w:shd w:val="clear" w:color="auto" w:fill="BFCED6"/>
          </w:tcPr>
          <w:p w14:paraId="39851FAA" w14:textId="67A9D29B" w:rsidR="00AC5C83" w:rsidRPr="00BF031D" w:rsidRDefault="00AC5C83" w:rsidP="00AC5C83">
            <w:pPr>
              <w:jc w:val="center"/>
              <w:rPr>
                <w:rFonts w:ascii="VIC" w:hAnsi="VIC"/>
                <w:sz w:val="18"/>
                <w:szCs w:val="18"/>
              </w:rPr>
            </w:pPr>
            <w:r w:rsidRPr="001E2423">
              <w:rPr>
                <w:rFonts w:ascii="VIC" w:eastAsia="Verdana" w:hAnsi="VIC"/>
                <w:color w:val="000000"/>
                <w:sz w:val="18"/>
                <w:szCs w:val="18"/>
              </w:rPr>
              <w:t>44 %</w:t>
            </w:r>
          </w:p>
        </w:tc>
        <w:tc>
          <w:tcPr>
            <w:tcW w:w="1108" w:type="dxa"/>
            <w:tcBorders>
              <w:bottom w:val="single" w:sz="4" w:space="0" w:color="244C5A"/>
            </w:tcBorders>
            <w:shd w:val="clear" w:color="auto" w:fill="BFCED6"/>
          </w:tcPr>
          <w:p w14:paraId="431C9699" w14:textId="49511241" w:rsidR="00AC5C83" w:rsidRPr="00BF031D" w:rsidRDefault="00AC5C83" w:rsidP="00AC5C83">
            <w:pPr>
              <w:jc w:val="center"/>
              <w:rPr>
                <w:rFonts w:ascii="VIC" w:hAnsi="VIC"/>
                <w:sz w:val="18"/>
                <w:szCs w:val="18"/>
              </w:rPr>
            </w:pPr>
            <w:r w:rsidRPr="001E2423">
              <w:rPr>
                <w:rFonts w:ascii="VIC" w:eastAsia="Verdana" w:hAnsi="VIC"/>
                <w:color w:val="000000"/>
                <w:sz w:val="18"/>
                <w:szCs w:val="18"/>
              </w:rPr>
              <w:t>95 %</w:t>
            </w:r>
          </w:p>
        </w:tc>
        <w:tc>
          <w:tcPr>
            <w:tcW w:w="1108" w:type="dxa"/>
            <w:tcBorders>
              <w:bottom w:val="single" w:sz="4" w:space="0" w:color="244C5A"/>
            </w:tcBorders>
            <w:shd w:val="clear" w:color="auto" w:fill="BFCED6"/>
          </w:tcPr>
          <w:p w14:paraId="33CF2CF0" w14:textId="266068CC" w:rsidR="00AC5C83" w:rsidRPr="00BF031D" w:rsidRDefault="00AC5C83" w:rsidP="00AC5C83">
            <w:pPr>
              <w:jc w:val="center"/>
              <w:rPr>
                <w:rFonts w:ascii="VIC" w:hAnsi="VIC"/>
                <w:sz w:val="18"/>
                <w:szCs w:val="18"/>
              </w:rPr>
            </w:pPr>
            <w:r w:rsidRPr="001E2423">
              <w:rPr>
                <w:rFonts w:ascii="VIC" w:eastAsia="Verdana" w:hAnsi="VIC"/>
                <w:color w:val="000000"/>
                <w:sz w:val="18"/>
                <w:szCs w:val="18"/>
              </w:rPr>
              <w:t>9 %</w:t>
            </w:r>
          </w:p>
        </w:tc>
        <w:tc>
          <w:tcPr>
            <w:tcW w:w="1108" w:type="dxa"/>
            <w:tcBorders>
              <w:bottom w:val="single" w:sz="4" w:space="0" w:color="244C5A"/>
            </w:tcBorders>
            <w:shd w:val="clear" w:color="auto" w:fill="BFCED6"/>
          </w:tcPr>
          <w:p w14:paraId="2142CF22" w14:textId="4E75EF70" w:rsidR="00AC5C83" w:rsidRPr="00BF031D" w:rsidRDefault="00AC5C83" w:rsidP="00AC5C83">
            <w:pPr>
              <w:jc w:val="center"/>
              <w:rPr>
                <w:rFonts w:ascii="VIC" w:hAnsi="VIC"/>
                <w:sz w:val="18"/>
                <w:szCs w:val="18"/>
              </w:rPr>
            </w:pPr>
            <w:r w:rsidRPr="001E2423">
              <w:rPr>
                <w:rFonts w:ascii="VIC" w:eastAsia="Verdana" w:hAnsi="VIC"/>
                <w:color w:val="000000"/>
                <w:sz w:val="18"/>
                <w:szCs w:val="18"/>
              </w:rPr>
              <w:t>183.9</w:t>
            </w:r>
          </w:p>
        </w:tc>
        <w:tc>
          <w:tcPr>
            <w:tcW w:w="1108" w:type="dxa"/>
            <w:tcBorders>
              <w:bottom w:val="single" w:sz="4" w:space="0" w:color="244C5A"/>
            </w:tcBorders>
            <w:shd w:val="clear" w:color="auto" w:fill="BFCED6"/>
          </w:tcPr>
          <w:p w14:paraId="5B8F8D0F" w14:textId="57A65198" w:rsidR="00AC5C83" w:rsidRPr="00BF031D" w:rsidRDefault="00AC5C83" w:rsidP="00AC5C83">
            <w:pPr>
              <w:jc w:val="center"/>
              <w:rPr>
                <w:rFonts w:ascii="VIC" w:hAnsi="VIC"/>
                <w:sz w:val="18"/>
                <w:szCs w:val="18"/>
              </w:rPr>
            </w:pPr>
            <w:r w:rsidRPr="001E2423">
              <w:rPr>
                <w:rFonts w:ascii="VIC" w:eastAsia="Verdana" w:hAnsi="VIC"/>
                <w:color w:val="000000"/>
                <w:sz w:val="18"/>
                <w:szCs w:val="18"/>
              </w:rPr>
              <w:t>6.6</w:t>
            </w:r>
          </w:p>
        </w:tc>
        <w:tc>
          <w:tcPr>
            <w:tcW w:w="1109" w:type="dxa"/>
            <w:tcBorders>
              <w:bottom w:val="single" w:sz="4" w:space="0" w:color="244C5A"/>
            </w:tcBorders>
            <w:shd w:val="clear" w:color="auto" w:fill="BFCED6"/>
          </w:tcPr>
          <w:p w14:paraId="3ACA3D41" w14:textId="4C7F9927" w:rsidR="00AC5C83" w:rsidRPr="00BF031D" w:rsidRDefault="00AC5C83" w:rsidP="00AC5C83">
            <w:pPr>
              <w:jc w:val="center"/>
              <w:rPr>
                <w:rFonts w:ascii="VIC" w:hAnsi="VIC"/>
                <w:sz w:val="18"/>
                <w:szCs w:val="18"/>
              </w:rPr>
            </w:pPr>
            <w:r w:rsidRPr="001E2423">
              <w:rPr>
                <w:rFonts w:ascii="VIC" w:eastAsia="Verdana" w:hAnsi="VIC"/>
                <w:color w:val="000000"/>
                <w:sz w:val="18"/>
                <w:szCs w:val="18"/>
              </w:rPr>
              <w:t>92 %</w:t>
            </w:r>
          </w:p>
        </w:tc>
        <w:tc>
          <w:tcPr>
            <w:tcW w:w="1108" w:type="dxa"/>
            <w:tcBorders>
              <w:bottom w:val="single" w:sz="4" w:space="0" w:color="244C5A"/>
            </w:tcBorders>
            <w:shd w:val="clear" w:color="auto" w:fill="BFCED6"/>
          </w:tcPr>
          <w:p w14:paraId="7B9CC000" w14:textId="24A10FCB" w:rsidR="00AC5C83" w:rsidRPr="00BF031D" w:rsidRDefault="00AC5C83" w:rsidP="00AC5C83">
            <w:pPr>
              <w:jc w:val="center"/>
              <w:rPr>
                <w:rFonts w:ascii="VIC" w:hAnsi="VIC"/>
                <w:sz w:val="18"/>
                <w:szCs w:val="18"/>
              </w:rPr>
            </w:pPr>
            <w:r w:rsidRPr="001E2423">
              <w:rPr>
                <w:rFonts w:ascii="VIC" w:eastAsia="Verdana" w:hAnsi="VIC"/>
                <w:color w:val="000000"/>
                <w:sz w:val="18"/>
                <w:szCs w:val="18"/>
              </w:rPr>
              <w:t>16.4</w:t>
            </w:r>
          </w:p>
        </w:tc>
        <w:tc>
          <w:tcPr>
            <w:tcW w:w="1108" w:type="dxa"/>
            <w:tcBorders>
              <w:bottom w:val="single" w:sz="4" w:space="0" w:color="244C5A"/>
            </w:tcBorders>
            <w:shd w:val="clear" w:color="auto" w:fill="BFCED6"/>
          </w:tcPr>
          <w:p w14:paraId="477EB497" w14:textId="400336CA" w:rsidR="00AC5C83" w:rsidRPr="00BF031D" w:rsidRDefault="00AC5C83" w:rsidP="00AC5C83">
            <w:pPr>
              <w:jc w:val="center"/>
              <w:rPr>
                <w:rFonts w:ascii="VIC" w:hAnsi="VIC"/>
                <w:sz w:val="18"/>
                <w:szCs w:val="18"/>
              </w:rPr>
            </w:pPr>
            <w:r w:rsidRPr="001E2423">
              <w:rPr>
                <w:rFonts w:ascii="VIC" w:eastAsia="Verdana" w:hAnsi="VIC"/>
                <w:color w:val="000000"/>
                <w:sz w:val="18"/>
                <w:szCs w:val="18"/>
              </w:rPr>
              <w:t>41 %</w:t>
            </w:r>
          </w:p>
        </w:tc>
        <w:tc>
          <w:tcPr>
            <w:tcW w:w="1108" w:type="dxa"/>
            <w:tcBorders>
              <w:bottom w:val="single" w:sz="4" w:space="0" w:color="244C5A"/>
            </w:tcBorders>
            <w:shd w:val="clear" w:color="auto" w:fill="BFCED6"/>
          </w:tcPr>
          <w:p w14:paraId="62E2D09B" w14:textId="489DE955" w:rsidR="00AC5C83" w:rsidRPr="00BF031D" w:rsidRDefault="00AC5C83" w:rsidP="00AC5C83">
            <w:pPr>
              <w:jc w:val="center"/>
              <w:rPr>
                <w:rFonts w:ascii="VIC" w:hAnsi="VIC"/>
                <w:sz w:val="18"/>
                <w:szCs w:val="18"/>
              </w:rPr>
            </w:pPr>
            <w:r w:rsidRPr="001E2423">
              <w:rPr>
                <w:rFonts w:ascii="VIC" w:eastAsia="Verdana" w:hAnsi="VIC"/>
                <w:color w:val="000000"/>
                <w:sz w:val="18"/>
                <w:szCs w:val="18"/>
              </w:rPr>
              <w:t>2 %</w:t>
            </w:r>
          </w:p>
        </w:tc>
        <w:tc>
          <w:tcPr>
            <w:tcW w:w="1108" w:type="dxa"/>
            <w:tcBorders>
              <w:bottom w:val="single" w:sz="4" w:space="0" w:color="244C5A"/>
            </w:tcBorders>
            <w:shd w:val="clear" w:color="auto" w:fill="BFCED6"/>
          </w:tcPr>
          <w:p w14:paraId="3269BCA6" w14:textId="2EDE5D59" w:rsidR="00AC5C83" w:rsidRPr="00BF031D" w:rsidRDefault="00AC5C83" w:rsidP="00AC5C83">
            <w:pPr>
              <w:jc w:val="center"/>
              <w:rPr>
                <w:rFonts w:ascii="VIC" w:hAnsi="VIC"/>
                <w:sz w:val="18"/>
                <w:szCs w:val="18"/>
              </w:rPr>
            </w:pPr>
            <w:r w:rsidRPr="001E2423">
              <w:rPr>
                <w:rFonts w:ascii="VIC" w:eastAsia="Verdana" w:hAnsi="VIC"/>
                <w:color w:val="000000"/>
                <w:sz w:val="18"/>
                <w:szCs w:val="18"/>
              </w:rPr>
              <w:t>1.0</w:t>
            </w:r>
          </w:p>
        </w:tc>
        <w:tc>
          <w:tcPr>
            <w:tcW w:w="1109" w:type="dxa"/>
            <w:tcBorders>
              <w:bottom w:val="single" w:sz="4" w:space="0" w:color="244C5A"/>
            </w:tcBorders>
            <w:shd w:val="clear" w:color="auto" w:fill="BFCED6"/>
          </w:tcPr>
          <w:p w14:paraId="1D770D30" w14:textId="2C1D1687" w:rsidR="00AC5C83" w:rsidRPr="00BF031D" w:rsidRDefault="00AC5C83" w:rsidP="00AC5C83">
            <w:pPr>
              <w:jc w:val="center"/>
              <w:rPr>
                <w:rFonts w:ascii="VIC" w:hAnsi="VIC"/>
                <w:sz w:val="18"/>
                <w:szCs w:val="18"/>
              </w:rPr>
            </w:pPr>
            <w:r w:rsidRPr="001E2423">
              <w:rPr>
                <w:rFonts w:ascii="VIC" w:eastAsia="Verdana" w:hAnsi="VIC"/>
                <w:color w:val="000000"/>
                <w:sz w:val="18"/>
                <w:szCs w:val="18"/>
              </w:rPr>
              <w:t>27 %</w:t>
            </w:r>
          </w:p>
        </w:tc>
      </w:tr>
      <w:tr w:rsidR="00AC5C83" w:rsidRPr="00BF031D" w14:paraId="57D87D7C" w14:textId="77777777" w:rsidTr="00D5403A">
        <w:trPr>
          <w:trHeight w:val="454"/>
        </w:trPr>
        <w:tc>
          <w:tcPr>
            <w:tcW w:w="1570" w:type="dxa"/>
            <w:tcBorders>
              <w:top w:val="single" w:sz="4" w:space="0" w:color="244C5A"/>
              <w:bottom w:val="single" w:sz="4" w:space="0" w:color="244C5A"/>
            </w:tcBorders>
            <w:shd w:val="clear" w:color="auto" w:fill="FFFFFF" w:themeFill="background1"/>
          </w:tcPr>
          <w:p w14:paraId="32C2C9EC" w14:textId="61C421DD" w:rsidR="00AC5C83" w:rsidRPr="00800844"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Royal Children's</w:t>
            </w:r>
          </w:p>
        </w:tc>
        <w:tc>
          <w:tcPr>
            <w:tcW w:w="1985" w:type="dxa"/>
            <w:tcBorders>
              <w:top w:val="single" w:sz="4" w:space="0" w:color="244C5A"/>
              <w:bottom w:val="single" w:sz="4" w:space="0" w:color="244C5A"/>
            </w:tcBorders>
            <w:shd w:val="clear" w:color="auto" w:fill="FFFFFF" w:themeFill="background1"/>
          </w:tcPr>
          <w:p w14:paraId="75C91F6C" w14:textId="7D990B27" w:rsidR="00AC5C83" w:rsidRPr="00800844"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North Western (RCH)</w:t>
            </w:r>
          </w:p>
        </w:tc>
        <w:tc>
          <w:tcPr>
            <w:tcW w:w="1108" w:type="dxa"/>
            <w:tcBorders>
              <w:top w:val="single" w:sz="4" w:space="0" w:color="244C5A"/>
              <w:bottom w:val="single" w:sz="4" w:space="0" w:color="244C5A"/>
            </w:tcBorders>
            <w:shd w:val="clear" w:color="auto" w:fill="FFFFFF" w:themeFill="background1"/>
          </w:tcPr>
          <w:p w14:paraId="3FC77762" w14:textId="0CD06350" w:rsidR="00AC5C83" w:rsidRPr="00BF031D" w:rsidRDefault="00AC5C83" w:rsidP="00AC5C83">
            <w:pPr>
              <w:jc w:val="center"/>
              <w:rPr>
                <w:rFonts w:ascii="VIC" w:hAnsi="VIC"/>
                <w:sz w:val="18"/>
                <w:szCs w:val="18"/>
              </w:rPr>
            </w:pPr>
            <w:r w:rsidRPr="001E2423">
              <w:rPr>
                <w:rFonts w:ascii="VIC" w:eastAsia="Verdana" w:hAnsi="VIC"/>
                <w:color w:val="000000"/>
                <w:sz w:val="18"/>
                <w:szCs w:val="18"/>
              </w:rPr>
              <w:t>73 %</w:t>
            </w:r>
          </w:p>
        </w:tc>
        <w:tc>
          <w:tcPr>
            <w:tcW w:w="1108" w:type="dxa"/>
            <w:tcBorders>
              <w:top w:val="single" w:sz="4" w:space="0" w:color="244C5A"/>
              <w:bottom w:val="single" w:sz="4" w:space="0" w:color="244C5A"/>
            </w:tcBorders>
            <w:shd w:val="clear" w:color="auto" w:fill="FFFFFF" w:themeFill="background1"/>
          </w:tcPr>
          <w:p w14:paraId="623BBBE6" w14:textId="64415B8B" w:rsidR="00AC5C83" w:rsidRPr="00BF031D" w:rsidRDefault="00AC5C83" w:rsidP="00AC5C83">
            <w:pPr>
              <w:jc w:val="center"/>
              <w:rPr>
                <w:rFonts w:ascii="VIC" w:hAnsi="VIC"/>
                <w:sz w:val="18"/>
                <w:szCs w:val="18"/>
              </w:rPr>
            </w:pPr>
            <w:r w:rsidRPr="001E2423">
              <w:rPr>
                <w:rFonts w:ascii="VIC" w:eastAsia="Verdana" w:hAnsi="VIC"/>
                <w:color w:val="000000"/>
                <w:sz w:val="18"/>
                <w:szCs w:val="18"/>
              </w:rPr>
              <w:t>84 %</w:t>
            </w:r>
          </w:p>
        </w:tc>
        <w:tc>
          <w:tcPr>
            <w:tcW w:w="1108" w:type="dxa"/>
            <w:tcBorders>
              <w:top w:val="single" w:sz="4" w:space="0" w:color="244C5A"/>
              <w:bottom w:val="single" w:sz="4" w:space="0" w:color="244C5A"/>
            </w:tcBorders>
            <w:shd w:val="clear" w:color="auto" w:fill="FFFFFF" w:themeFill="background1"/>
          </w:tcPr>
          <w:p w14:paraId="28A44378" w14:textId="54754939" w:rsidR="00AC5C83" w:rsidRPr="00BF031D" w:rsidRDefault="00AC5C83" w:rsidP="00AC5C83">
            <w:pPr>
              <w:jc w:val="center"/>
              <w:rPr>
                <w:rFonts w:ascii="VIC" w:hAnsi="VIC"/>
                <w:sz w:val="18"/>
                <w:szCs w:val="18"/>
              </w:rPr>
            </w:pPr>
            <w:r w:rsidRPr="001E2423">
              <w:rPr>
                <w:rFonts w:ascii="VIC" w:eastAsia="Verdana" w:hAnsi="VIC"/>
                <w:color w:val="000000"/>
                <w:sz w:val="18"/>
                <w:szCs w:val="18"/>
              </w:rPr>
              <w:t>18 %</w:t>
            </w:r>
          </w:p>
        </w:tc>
        <w:tc>
          <w:tcPr>
            <w:tcW w:w="1108" w:type="dxa"/>
            <w:tcBorders>
              <w:top w:val="single" w:sz="4" w:space="0" w:color="244C5A"/>
              <w:bottom w:val="single" w:sz="4" w:space="0" w:color="244C5A"/>
            </w:tcBorders>
            <w:shd w:val="clear" w:color="auto" w:fill="FFFFFF" w:themeFill="background1"/>
          </w:tcPr>
          <w:p w14:paraId="40BD0F10" w14:textId="7B953EB8" w:rsidR="00AC5C83" w:rsidRPr="00BF031D" w:rsidRDefault="00AC5C83" w:rsidP="00AC5C83">
            <w:pPr>
              <w:jc w:val="center"/>
              <w:rPr>
                <w:rFonts w:ascii="VIC" w:hAnsi="VIC"/>
                <w:sz w:val="18"/>
                <w:szCs w:val="18"/>
              </w:rPr>
            </w:pPr>
            <w:r w:rsidRPr="001E2423">
              <w:rPr>
                <w:rFonts w:ascii="VIC" w:eastAsia="Verdana" w:hAnsi="VIC"/>
                <w:color w:val="000000"/>
                <w:sz w:val="18"/>
                <w:szCs w:val="18"/>
              </w:rPr>
              <w:t>155.1</w:t>
            </w:r>
          </w:p>
        </w:tc>
        <w:tc>
          <w:tcPr>
            <w:tcW w:w="1108" w:type="dxa"/>
            <w:tcBorders>
              <w:top w:val="single" w:sz="4" w:space="0" w:color="244C5A"/>
              <w:bottom w:val="single" w:sz="4" w:space="0" w:color="244C5A"/>
            </w:tcBorders>
            <w:shd w:val="clear" w:color="auto" w:fill="FFFFFF" w:themeFill="background1"/>
          </w:tcPr>
          <w:p w14:paraId="2FF7A2B1" w14:textId="774136B9" w:rsidR="00AC5C83" w:rsidRPr="00BF031D" w:rsidRDefault="00AC5C83" w:rsidP="00AC5C83">
            <w:pPr>
              <w:jc w:val="center"/>
              <w:rPr>
                <w:rFonts w:ascii="VIC" w:hAnsi="VIC"/>
                <w:sz w:val="18"/>
                <w:szCs w:val="18"/>
              </w:rPr>
            </w:pPr>
            <w:r w:rsidRPr="001E2423">
              <w:rPr>
                <w:rFonts w:ascii="VIC" w:eastAsia="Verdana" w:hAnsi="VIC"/>
                <w:color w:val="000000"/>
                <w:sz w:val="18"/>
                <w:szCs w:val="18"/>
              </w:rPr>
              <w:t>3.6</w:t>
            </w:r>
          </w:p>
        </w:tc>
        <w:tc>
          <w:tcPr>
            <w:tcW w:w="1109" w:type="dxa"/>
            <w:tcBorders>
              <w:top w:val="single" w:sz="4" w:space="0" w:color="244C5A"/>
              <w:bottom w:val="single" w:sz="4" w:space="0" w:color="244C5A"/>
            </w:tcBorders>
            <w:shd w:val="clear" w:color="auto" w:fill="FFFFFF" w:themeFill="background1"/>
          </w:tcPr>
          <w:p w14:paraId="4A293DE3" w14:textId="1674BD33" w:rsidR="00AC5C83" w:rsidRPr="00BF031D" w:rsidRDefault="00AC5C83" w:rsidP="00AC5C83">
            <w:pPr>
              <w:jc w:val="center"/>
              <w:rPr>
                <w:rFonts w:ascii="VIC" w:hAnsi="VIC"/>
                <w:sz w:val="18"/>
                <w:szCs w:val="18"/>
              </w:rPr>
            </w:pPr>
            <w:r w:rsidRPr="001E2423">
              <w:rPr>
                <w:rFonts w:ascii="VIC" w:eastAsia="Verdana" w:hAnsi="VIC"/>
                <w:color w:val="000000"/>
                <w:sz w:val="18"/>
                <w:szCs w:val="18"/>
              </w:rPr>
              <w:t>71 %</w:t>
            </w:r>
          </w:p>
        </w:tc>
        <w:tc>
          <w:tcPr>
            <w:tcW w:w="1108" w:type="dxa"/>
            <w:tcBorders>
              <w:top w:val="single" w:sz="4" w:space="0" w:color="244C5A"/>
              <w:bottom w:val="single" w:sz="4" w:space="0" w:color="244C5A"/>
            </w:tcBorders>
            <w:shd w:val="clear" w:color="auto" w:fill="FFFFFF" w:themeFill="background1"/>
          </w:tcPr>
          <w:p w14:paraId="2B380249" w14:textId="4E024EE2" w:rsidR="00AC5C83" w:rsidRPr="00BF031D" w:rsidRDefault="00AC5C83" w:rsidP="00AC5C83">
            <w:pPr>
              <w:jc w:val="center"/>
              <w:rPr>
                <w:rFonts w:ascii="VIC" w:hAnsi="VIC"/>
                <w:sz w:val="18"/>
                <w:szCs w:val="18"/>
              </w:rPr>
            </w:pPr>
            <w:r w:rsidRPr="001E2423">
              <w:rPr>
                <w:rFonts w:ascii="VIC" w:eastAsia="Verdana" w:hAnsi="VIC"/>
                <w:color w:val="000000"/>
                <w:sz w:val="18"/>
                <w:szCs w:val="18"/>
              </w:rPr>
              <w:t>15.8</w:t>
            </w:r>
          </w:p>
        </w:tc>
        <w:tc>
          <w:tcPr>
            <w:tcW w:w="1108" w:type="dxa"/>
            <w:tcBorders>
              <w:top w:val="single" w:sz="4" w:space="0" w:color="244C5A"/>
              <w:bottom w:val="single" w:sz="4" w:space="0" w:color="244C5A"/>
            </w:tcBorders>
            <w:shd w:val="clear" w:color="auto" w:fill="FFFFFF" w:themeFill="background1"/>
          </w:tcPr>
          <w:p w14:paraId="1EBC75AD" w14:textId="11707470" w:rsidR="00AC5C83" w:rsidRPr="00BF031D" w:rsidRDefault="00AC5C83" w:rsidP="00AC5C83">
            <w:pPr>
              <w:jc w:val="center"/>
              <w:rPr>
                <w:rFonts w:ascii="VIC" w:hAnsi="VIC"/>
                <w:sz w:val="18"/>
                <w:szCs w:val="18"/>
              </w:rPr>
            </w:pPr>
            <w:r w:rsidRPr="001E2423">
              <w:rPr>
                <w:rFonts w:ascii="VIC" w:eastAsia="Verdana" w:hAnsi="VIC"/>
                <w:color w:val="000000"/>
                <w:sz w:val="18"/>
                <w:szCs w:val="18"/>
              </w:rPr>
              <w:t>45 %</w:t>
            </w:r>
          </w:p>
        </w:tc>
        <w:tc>
          <w:tcPr>
            <w:tcW w:w="1108" w:type="dxa"/>
            <w:tcBorders>
              <w:top w:val="single" w:sz="4" w:space="0" w:color="244C5A"/>
              <w:bottom w:val="single" w:sz="4" w:space="0" w:color="244C5A"/>
            </w:tcBorders>
            <w:shd w:val="clear" w:color="auto" w:fill="FFFFFF" w:themeFill="background1"/>
          </w:tcPr>
          <w:p w14:paraId="3EFB2871" w14:textId="1B4DB855" w:rsidR="00AC5C83" w:rsidRPr="00BF031D" w:rsidRDefault="00AC5C83" w:rsidP="00AC5C83">
            <w:pPr>
              <w:jc w:val="center"/>
              <w:rPr>
                <w:rFonts w:ascii="VIC" w:hAnsi="VIC"/>
                <w:sz w:val="18"/>
                <w:szCs w:val="18"/>
              </w:rPr>
            </w:pPr>
            <w:r w:rsidRPr="001E2423">
              <w:rPr>
                <w:rFonts w:ascii="VIC" w:eastAsia="Verdana" w:hAnsi="VIC"/>
                <w:color w:val="000000"/>
                <w:sz w:val="18"/>
                <w:szCs w:val="18"/>
              </w:rPr>
              <w:t>2 %</w:t>
            </w:r>
          </w:p>
        </w:tc>
        <w:tc>
          <w:tcPr>
            <w:tcW w:w="1108" w:type="dxa"/>
            <w:tcBorders>
              <w:top w:val="single" w:sz="4" w:space="0" w:color="244C5A"/>
              <w:bottom w:val="single" w:sz="4" w:space="0" w:color="244C5A"/>
            </w:tcBorders>
            <w:shd w:val="clear" w:color="auto" w:fill="FFFFFF" w:themeFill="background1"/>
          </w:tcPr>
          <w:p w14:paraId="444B528A" w14:textId="5636D5CD" w:rsidR="00AC5C83" w:rsidRPr="00BF031D" w:rsidRDefault="00AC5C83" w:rsidP="00AC5C83">
            <w:pPr>
              <w:jc w:val="center"/>
              <w:rPr>
                <w:rFonts w:ascii="VIC" w:hAnsi="VIC"/>
                <w:sz w:val="18"/>
                <w:szCs w:val="18"/>
              </w:rPr>
            </w:pPr>
            <w:r w:rsidRPr="001E2423">
              <w:rPr>
                <w:rFonts w:ascii="VIC" w:eastAsia="Verdana" w:hAnsi="VIC"/>
                <w:color w:val="000000"/>
                <w:sz w:val="18"/>
                <w:szCs w:val="18"/>
              </w:rPr>
              <w:t>1.3</w:t>
            </w:r>
          </w:p>
        </w:tc>
        <w:tc>
          <w:tcPr>
            <w:tcW w:w="1109" w:type="dxa"/>
            <w:tcBorders>
              <w:top w:val="single" w:sz="4" w:space="0" w:color="244C5A"/>
              <w:bottom w:val="single" w:sz="4" w:space="0" w:color="244C5A"/>
            </w:tcBorders>
            <w:shd w:val="clear" w:color="auto" w:fill="FFFFFF" w:themeFill="background1"/>
          </w:tcPr>
          <w:p w14:paraId="18AA49A8" w14:textId="0CAA0A6A" w:rsidR="00AC5C83" w:rsidRPr="00BF031D" w:rsidRDefault="00AC5C83" w:rsidP="00AC5C83">
            <w:pPr>
              <w:jc w:val="center"/>
              <w:rPr>
                <w:rFonts w:ascii="VIC" w:hAnsi="VIC"/>
                <w:sz w:val="18"/>
                <w:szCs w:val="18"/>
              </w:rPr>
            </w:pPr>
            <w:r w:rsidRPr="001E2423">
              <w:rPr>
                <w:rFonts w:ascii="VIC" w:eastAsia="Verdana" w:hAnsi="VIC"/>
                <w:color w:val="000000"/>
                <w:sz w:val="18"/>
                <w:szCs w:val="18"/>
              </w:rPr>
              <w:t>30 %</w:t>
            </w:r>
          </w:p>
        </w:tc>
      </w:tr>
      <w:tr w:rsidR="00AC5C83" w:rsidRPr="00AC5C83" w14:paraId="7D52530B" w14:textId="77777777" w:rsidTr="00D5403A">
        <w:trPr>
          <w:trHeight w:val="454"/>
        </w:trPr>
        <w:tc>
          <w:tcPr>
            <w:tcW w:w="1570" w:type="dxa"/>
            <w:tcBorders>
              <w:top w:val="single" w:sz="4" w:space="0" w:color="244C5A"/>
            </w:tcBorders>
            <w:shd w:val="clear" w:color="auto" w:fill="B1C9E8"/>
          </w:tcPr>
          <w:p w14:paraId="412DEBC4" w14:textId="23997017"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TOTAL METRO</w:t>
            </w:r>
          </w:p>
        </w:tc>
        <w:tc>
          <w:tcPr>
            <w:tcW w:w="1985" w:type="dxa"/>
            <w:tcBorders>
              <w:top w:val="single" w:sz="4" w:space="0" w:color="244C5A"/>
            </w:tcBorders>
            <w:shd w:val="clear" w:color="auto" w:fill="B1C9E8"/>
          </w:tcPr>
          <w:p w14:paraId="19BA8C22" w14:textId="25C46399"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 xml:space="preserve"> </w:t>
            </w:r>
          </w:p>
        </w:tc>
        <w:tc>
          <w:tcPr>
            <w:tcW w:w="1108" w:type="dxa"/>
            <w:tcBorders>
              <w:top w:val="single" w:sz="4" w:space="0" w:color="244C5A"/>
            </w:tcBorders>
            <w:shd w:val="clear" w:color="auto" w:fill="B1C9E8"/>
          </w:tcPr>
          <w:p w14:paraId="249EA43C" w14:textId="44AD6C69"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58 %</w:t>
            </w:r>
          </w:p>
        </w:tc>
        <w:tc>
          <w:tcPr>
            <w:tcW w:w="1108" w:type="dxa"/>
            <w:tcBorders>
              <w:top w:val="single" w:sz="4" w:space="0" w:color="244C5A"/>
            </w:tcBorders>
            <w:shd w:val="clear" w:color="auto" w:fill="B1C9E8"/>
          </w:tcPr>
          <w:p w14:paraId="750F47E4" w14:textId="3C6778E8"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90 %</w:t>
            </w:r>
          </w:p>
        </w:tc>
        <w:tc>
          <w:tcPr>
            <w:tcW w:w="1108" w:type="dxa"/>
            <w:tcBorders>
              <w:top w:val="single" w:sz="4" w:space="0" w:color="244C5A"/>
            </w:tcBorders>
            <w:shd w:val="clear" w:color="auto" w:fill="B1C9E8"/>
          </w:tcPr>
          <w:p w14:paraId="7A36F878" w14:textId="671CC41E"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14 %</w:t>
            </w:r>
          </w:p>
        </w:tc>
        <w:tc>
          <w:tcPr>
            <w:tcW w:w="1108" w:type="dxa"/>
            <w:tcBorders>
              <w:top w:val="single" w:sz="4" w:space="0" w:color="244C5A"/>
            </w:tcBorders>
            <w:shd w:val="clear" w:color="auto" w:fill="B1C9E8"/>
          </w:tcPr>
          <w:p w14:paraId="13B8ABCB" w14:textId="77B23C90"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222.5</w:t>
            </w:r>
          </w:p>
        </w:tc>
        <w:tc>
          <w:tcPr>
            <w:tcW w:w="1108" w:type="dxa"/>
            <w:tcBorders>
              <w:top w:val="single" w:sz="4" w:space="0" w:color="244C5A"/>
            </w:tcBorders>
            <w:shd w:val="clear" w:color="auto" w:fill="B1C9E8"/>
          </w:tcPr>
          <w:p w14:paraId="777E6CB8" w14:textId="6C2ACD9D"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6.1</w:t>
            </w:r>
          </w:p>
        </w:tc>
        <w:tc>
          <w:tcPr>
            <w:tcW w:w="1109" w:type="dxa"/>
            <w:tcBorders>
              <w:top w:val="single" w:sz="4" w:space="0" w:color="244C5A"/>
            </w:tcBorders>
            <w:shd w:val="clear" w:color="auto" w:fill="B1C9E8"/>
          </w:tcPr>
          <w:p w14:paraId="6645FB93" w14:textId="5BB268D7"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76 %</w:t>
            </w:r>
          </w:p>
        </w:tc>
        <w:tc>
          <w:tcPr>
            <w:tcW w:w="1108" w:type="dxa"/>
            <w:tcBorders>
              <w:top w:val="single" w:sz="4" w:space="0" w:color="244C5A"/>
            </w:tcBorders>
            <w:shd w:val="clear" w:color="auto" w:fill="B1C9E8"/>
          </w:tcPr>
          <w:p w14:paraId="25D11916" w14:textId="7D6CD6FB"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17.1</w:t>
            </w:r>
          </w:p>
        </w:tc>
        <w:tc>
          <w:tcPr>
            <w:tcW w:w="1108" w:type="dxa"/>
            <w:tcBorders>
              <w:top w:val="single" w:sz="4" w:space="0" w:color="244C5A"/>
            </w:tcBorders>
            <w:shd w:val="clear" w:color="auto" w:fill="B1C9E8"/>
          </w:tcPr>
          <w:p w14:paraId="61BC1CEF" w14:textId="7EF98E3A"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45 %</w:t>
            </w:r>
          </w:p>
        </w:tc>
        <w:tc>
          <w:tcPr>
            <w:tcW w:w="1108" w:type="dxa"/>
            <w:tcBorders>
              <w:top w:val="single" w:sz="4" w:space="0" w:color="244C5A"/>
            </w:tcBorders>
            <w:shd w:val="clear" w:color="auto" w:fill="B1C9E8"/>
          </w:tcPr>
          <w:p w14:paraId="08AEE2A8" w14:textId="0C0DB9DE"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13 %</w:t>
            </w:r>
          </w:p>
        </w:tc>
        <w:tc>
          <w:tcPr>
            <w:tcW w:w="1108" w:type="dxa"/>
            <w:tcBorders>
              <w:top w:val="single" w:sz="4" w:space="0" w:color="244C5A"/>
            </w:tcBorders>
            <w:shd w:val="clear" w:color="auto" w:fill="B1C9E8"/>
          </w:tcPr>
          <w:p w14:paraId="3839F4BD" w14:textId="6D1B145B"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1.2</w:t>
            </w:r>
          </w:p>
        </w:tc>
        <w:tc>
          <w:tcPr>
            <w:tcW w:w="1109" w:type="dxa"/>
            <w:tcBorders>
              <w:top w:val="single" w:sz="4" w:space="0" w:color="244C5A"/>
            </w:tcBorders>
            <w:shd w:val="clear" w:color="auto" w:fill="B1C9E8"/>
          </w:tcPr>
          <w:p w14:paraId="226EC8DC" w14:textId="7867D043"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26 %</w:t>
            </w:r>
          </w:p>
        </w:tc>
      </w:tr>
      <w:tr w:rsidR="00AC5C83" w:rsidRPr="00BF031D" w14:paraId="50BCCE45" w14:textId="77777777" w:rsidTr="003D0E58">
        <w:trPr>
          <w:trHeight w:val="454"/>
        </w:trPr>
        <w:tc>
          <w:tcPr>
            <w:tcW w:w="1570" w:type="dxa"/>
            <w:shd w:val="clear" w:color="auto" w:fill="BFCED6"/>
          </w:tcPr>
          <w:p w14:paraId="172F6DF2" w14:textId="3D872760"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Ballarat Health</w:t>
            </w:r>
          </w:p>
        </w:tc>
        <w:tc>
          <w:tcPr>
            <w:tcW w:w="1985" w:type="dxa"/>
            <w:shd w:val="clear" w:color="auto" w:fill="BFCED6"/>
          </w:tcPr>
          <w:p w14:paraId="11998F7E" w14:textId="3078B6A9"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Grampians</w:t>
            </w:r>
          </w:p>
        </w:tc>
        <w:tc>
          <w:tcPr>
            <w:tcW w:w="1108" w:type="dxa"/>
            <w:shd w:val="clear" w:color="auto" w:fill="BFCED6"/>
          </w:tcPr>
          <w:p w14:paraId="4B229F8D" w14:textId="17A2072C" w:rsidR="00AC5C83" w:rsidRPr="00BF031D" w:rsidRDefault="00AC5C83" w:rsidP="00AC5C83">
            <w:pPr>
              <w:jc w:val="center"/>
              <w:rPr>
                <w:rFonts w:ascii="VIC" w:hAnsi="VIC"/>
                <w:sz w:val="18"/>
                <w:szCs w:val="18"/>
              </w:rPr>
            </w:pPr>
            <w:r w:rsidRPr="001E2423">
              <w:rPr>
                <w:rFonts w:ascii="VIC" w:eastAsia="Verdana" w:hAnsi="VIC"/>
                <w:color w:val="000000"/>
                <w:sz w:val="18"/>
                <w:szCs w:val="18"/>
              </w:rPr>
              <w:t>73 %</w:t>
            </w:r>
          </w:p>
        </w:tc>
        <w:tc>
          <w:tcPr>
            <w:tcW w:w="1108" w:type="dxa"/>
            <w:shd w:val="clear" w:color="auto" w:fill="BFCED6"/>
          </w:tcPr>
          <w:p w14:paraId="0A4FC8B5" w14:textId="378DBD0B" w:rsidR="00AC5C83" w:rsidRPr="00BF031D" w:rsidRDefault="00AC5C83" w:rsidP="00AC5C83">
            <w:pPr>
              <w:jc w:val="center"/>
              <w:rPr>
                <w:rFonts w:ascii="VIC" w:hAnsi="VIC"/>
                <w:sz w:val="18"/>
                <w:szCs w:val="18"/>
              </w:rPr>
            </w:pPr>
            <w:r w:rsidRPr="001E2423">
              <w:rPr>
                <w:rFonts w:ascii="VIC" w:eastAsia="Verdana" w:hAnsi="VIC"/>
                <w:color w:val="000000"/>
                <w:sz w:val="18"/>
                <w:szCs w:val="18"/>
              </w:rPr>
              <w:t>100 %</w:t>
            </w:r>
          </w:p>
        </w:tc>
        <w:tc>
          <w:tcPr>
            <w:tcW w:w="1108" w:type="dxa"/>
            <w:shd w:val="clear" w:color="auto" w:fill="BFCED6"/>
          </w:tcPr>
          <w:p w14:paraId="31D36B1F" w14:textId="5D11C06B" w:rsidR="00AC5C83" w:rsidRPr="00BF031D" w:rsidRDefault="00AC5C83" w:rsidP="00AC5C83">
            <w:pPr>
              <w:jc w:val="center"/>
              <w:rPr>
                <w:rFonts w:ascii="VIC" w:hAnsi="VIC"/>
                <w:sz w:val="18"/>
                <w:szCs w:val="18"/>
              </w:rPr>
            </w:pPr>
            <w:r w:rsidRPr="001E2423">
              <w:rPr>
                <w:rFonts w:ascii="VIC" w:eastAsia="Verdana" w:hAnsi="VIC"/>
                <w:color w:val="000000"/>
                <w:sz w:val="18"/>
                <w:szCs w:val="18"/>
              </w:rPr>
              <w:t>15 %</w:t>
            </w:r>
          </w:p>
        </w:tc>
        <w:tc>
          <w:tcPr>
            <w:tcW w:w="1108" w:type="dxa"/>
            <w:shd w:val="clear" w:color="auto" w:fill="BFCED6"/>
          </w:tcPr>
          <w:p w14:paraId="16C153EA" w14:textId="30CFD904" w:rsidR="00AC5C83" w:rsidRPr="00BF031D" w:rsidRDefault="00AC5C83" w:rsidP="00AC5C83">
            <w:pPr>
              <w:jc w:val="center"/>
              <w:rPr>
                <w:rFonts w:ascii="VIC" w:hAnsi="VIC"/>
                <w:sz w:val="18"/>
                <w:szCs w:val="18"/>
              </w:rPr>
            </w:pPr>
            <w:r w:rsidRPr="001E2423">
              <w:rPr>
                <w:rFonts w:ascii="VIC" w:eastAsia="Verdana" w:hAnsi="VIC"/>
                <w:color w:val="000000"/>
                <w:sz w:val="18"/>
                <w:szCs w:val="18"/>
              </w:rPr>
              <w:t>227.2</w:t>
            </w:r>
          </w:p>
        </w:tc>
        <w:tc>
          <w:tcPr>
            <w:tcW w:w="1108" w:type="dxa"/>
            <w:shd w:val="clear" w:color="auto" w:fill="BFCED6"/>
          </w:tcPr>
          <w:p w14:paraId="11BCEEB5" w14:textId="1A79222C" w:rsidR="00AC5C83" w:rsidRPr="00BF031D" w:rsidRDefault="00AC5C83" w:rsidP="00AC5C83">
            <w:pPr>
              <w:jc w:val="center"/>
              <w:rPr>
                <w:rFonts w:ascii="VIC" w:hAnsi="VIC"/>
                <w:sz w:val="18"/>
                <w:szCs w:val="18"/>
              </w:rPr>
            </w:pPr>
            <w:r w:rsidRPr="001E2423">
              <w:rPr>
                <w:rFonts w:ascii="VIC" w:eastAsia="Verdana" w:hAnsi="VIC"/>
                <w:color w:val="000000"/>
                <w:sz w:val="18"/>
                <w:szCs w:val="18"/>
              </w:rPr>
              <w:t>7.4</w:t>
            </w:r>
          </w:p>
        </w:tc>
        <w:tc>
          <w:tcPr>
            <w:tcW w:w="1109" w:type="dxa"/>
            <w:shd w:val="clear" w:color="auto" w:fill="BFCED6"/>
          </w:tcPr>
          <w:p w14:paraId="181E6029" w14:textId="6563FB6C" w:rsidR="00AC5C83" w:rsidRPr="00BF031D" w:rsidRDefault="00AC5C83" w:rsidP="00AC5C83">
            <w:pPr>
              <w:jc w:val="center"/>
              <w:rPr>
                <w:rFonts w:ascii="VIC" w:hAnsi="VIC"/>
                <w:sz w:val="18"/>
                <w:szCs w:val="18"/>
              </w:rPr>
            </w:pPr>
            <w:r w:rsidRPr="001E2423">
              <w:rPr>
                <w:rFonts w:ascii="VIC" w:eastAsia="Verdana" w:hAnsi="VIC"/>
                <w:color w:val="000000"/>
                <w:sz w:val="18"/>
                <w:szCs w:val="18"/>
              </w:rPr>
              <w:t>69 %</w:t>
            </w:r>
          </w:p>
        </w:tc>
        <w:tc>
          <w:tcPr>
            <w:tcW w:w="1108" w:type="dxa"/>
            <w:shd w:val="clear" w:color="auto" w:fill="BFCED6"/>
          </w:tcPr>
          <w:p w14:paraId="605BC688" w14:textId="78503993" w:rsidR="00AC5C83" w:rsidRPr="00BF031D" w:rsidRDefault="00AC5C83" w:rsidP="00AC5C83">
            <w:pPr>
              <w:jc w:val="center"/>
              <w:rPr>
                <w:rFonts w:ascii="VIC" w:hAnsi="VIC"/>
                <w:sz w:val="18"/>
                <w:szCs w:val="18"/>
              </w:rPr>
            </w:pPr>
            <w:r w:rsidRPr="001E2423">
              <w:rPr>
                <w:rFonts w:ascii="VIC" w:eastAsia="Verdana" w:hAnsi="VIC"/>
                <w:color w:val="000000"/>
                <w:sz w:val="18"/>
                <w:szCs w:val="18"/>
              </w:rPr>
              <w:t>16.1</w:t>
            </w:r>
          </w:p>
        </w:tc>
        <w:tc>
          <w:tcPr>
            <w:tcW w:w="1108" w:type="dxa"/>
            <w:shd w:val="clear" w:color="auto" w:fill="BFCED6"/>
          </w:tcPr>
          <w:p w14:paraId="3BDC2DBE" w14:textId="619A7C65" w:rsidR="00AC5C83" w:rsidRPr="00BF031D" w:rsidRDefault="00AC5C83" w:rsidP="00AC5C83">
            <w:pPr>
              <w:jc w:val="center"/>
              <w:rPr>
                <w:rFonts w:ascii="VIC" w:hAnsi="VIC"/>
                <w:sz w:val="18"/>
                <w:szCs w:val="18"/>
              </w:rPr>
            </w:pPr>
            <w:r w:rsidRPr="001E2423">
              <w:rPr>
                <w:rFonts w:ascii="VIC" w:eastAsia="Verdana" w:hAnsi="VIC"/>
                <w:color w:val="000000"/>
                <w:sz w:val="18"/>
                <w:szCs w:val="18"/>
              </w:rPr>
              <w:t>63 %</w:t>
            </w:r>
          </w:p>
        </w:tc>
        <w:tc>
          <w:tcPr>
            <w:tcW w:w="1108" w:type="dxa"/>
            <w:shd w:val="clear" w:color="auto" w:fill="BFCED6"/>
          </w:tcPr>
          <w:p w14:paraId="08D39FCD" w14:textId="54B27FB7" w:rsidR="00AC5C83" w:rsidRPr="00BF031D" w:rsidRDefault="00AC5C83" w:rsidP="00AC5C83">
            <w:pPr>
              <w:jc w:val="center"/>
              <w:rPr>
                <w:rFonts w:ascii="VIC" w:hAnsi="VIC"/>
                <w:sz w:val="18"/>
                <w:szCs w:val="18"/>
              </w:rPr>
            </w:pPr>
            <w:r w:rsidRPr="001E2423">
              <w:rPr>
                <w:rFonts w:ascii="VIC" w:eastAsia="Verdana" w:hAnsi="VIC"/>
                <w:color w:val="000000"/>
                <w:sz w:val="18"/>
                <w:szCs w:val="18"/>
              </w:rPr>
              <w:t>9 %</w:t>
            </w:r>
          </w:p>
        </w:tc>
        <w:tc>
          <w:tcPr>
            <w:tcW w:w="1108" w:type="dxa"/>
            <w:shd w:val="clear" w:color="auto" w:fill="BFCED6"/>
          </w:tcPr>
          <w:p w14:paraId="39A643C7" w14:textId="7FF55331" w:rsidR="00AC5C83" w:rsidRPr="00BF031D" w:rsidRDefault="00AC5C83" w:rsidP="00AC5C83">
            <w:pPr>
              <w:jc w:val="center"/>
              <w:rPr>
                <w:rFonts w:ascii="VIC" w:hAnsi="VIC"/>
                <w:sz w:val="18"/>
                <w:szCs w:val="18"/>
              </w:rPr>
            </w:pPr>
            <w:r w:rsidRPr="001E2423">
              <w:rPr>
                <w:rFonts w:ascii="VIC" w:eastAsia="Verdana" w:hAnsi="VIC"/>
                <w:color w:val="000000"/>
                <w:sz w:val="18"/>
                <w:szCs w:val="18"/>
              </w:rPr>
              <w:t>2.8</w:t>
            </w:r>
          </w:p>
        </w:tc>
        <w:tc>
          <w:tcPr>
            <w:tcW w:w="1109" w:type="dxa"/>
            <w:shd w:val="clear" w:color="auto" w:fill="BFCED6"/>
          </w:tcPr>
          <w:p w14:paraId="3A830DFF" w14:textId="7BA5013E" w:rsidR="00AC5C83" w:rsidRPr="00BF031D" w:rsidRDefault="00AC5C83" w:rsidP="00AC5C83">
            <w:pPr>
              <w:jc w:val="center"/>
              <w:rPr>
                <w:rFonts w:ascii="VIC" w:hAnsi="VIC"/>
                <w:sz w:val="18"/>
                <w:szCs w:val="18"/>
              </w:rPr>
            </w:pPr>
            <w:r w:rsidRPr="001E2423">
              <w:rPr>
                <w:rFonts w:ascii="VIC" w:eastAsia="Verdana" w:hAnsi="VIC"/>
                <w:color w:val="000000"/>
                <w:sz w:val="18"/>
                <w:szCs w:val="18"/>
              </w:rPr>
              <w:t>36 %</w:t>
            </w:r>
          </w:p>
        </w:tc>
      </w:tr>
      <w:tr w:rsidR="00AC5C83" w:rsidRPr="00BF031D" w14:paraId="00D681A8" w14:textId="77777777" w:rsidTr="003D0E58">
        <w:trPr>
          <w:trHeight w:val="454"/>
        </w:trPr>
        <w:tc>
          <w:tcPr>
            <w:tcW w:w="1570" w:type="dxa"/>
            <w:shd w:val="clear" w:color="auto" w:fill="auto"/>
          </w:tcPr>
          <w:p w14:paraId="764216B6" w14:textId="64B99C9A"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Barwon Health</w:t>
            </w:r>
          </w:p>
        </w:tc>
        <w:tc>
          <w:tcPr>
            <w:tcW w:w="1985" w:type="dxa"/>
            <w:shd w:val="clear" w:color="auto" w:fill="auto"/>
          </w:tcPr>
          <w:p w14:paraId="606E48AA" w14:textId="4FC614C0"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Barwon</w:t>
            </w:r>
          </w:p>
        </w:tc>
        <w:tc>
          <w:tcPr>
            <w:tcW w:w="1108" w:type="dxa"/>
            <w:shd w:val="clear" w:color="auto" w:fill="auto"/>
          </w:tcPr>
          <w:p w14:paraId="01E6880A" w14:textId="71AA4F16" w:rsidR="00AC5C83" w:rsidRPr="00BF031D" w:rsidRDefault="00AC5C83" w:rsidP="00AC5C83">
            <w:pPr>
              <w:jc w:val="center"/>
              <w:rPr>
                <w:rFonts w:ascii="VIC" w:hAnsi="VIC"/>
                <w:sz w:val="18"/>
                <w:szCs w:val="18"/>
              </w:rPr>
            </w:pPr>
            <w:r w:rsidRPr="001E2423">
              <w:rPr>
                <w:rFonts w:ascii="VIC" w:eastAsia="Verdana" w:hAnsi="VIC"/>
                <w:color w:val="000000"/>
                <w:sz w:val="18"/>
                <w:szCs w:val="18"/>
              </w:rPr>
              <w:t>55 %</w:t>
            </w:r>
          </w:p>
        </w:tc>
        <w:tc>
          <w:tcPr>
            <w:tcW w:w="1108" w:type="dxa"/>
            <w:shd w:val="clear" w:color="auto" w:fill="auto"/>
          </w:tcPr>
          <w:p w14:paraId="03FD98CA" w14:textId="45140CC7" w:rsidR="00AC5C83" w:rsidRPr="00BF031D" w:rsidRDefault="00AC5C83" w:rsidP="00AC5C83">
            <w:pPr>
              <w:jc w:val="center"/>
              <w:rPr>
                <w:rFonts w:ascii="VIC" w:hAnsi="VIC"/>
                <w:sz w:val="18"/>
                <w:szCs w:val="18"/>
              </w:rPr>
            </w:pPr>
            <w:r w:rsidRPr="001E2423">
              <w:rPr>
                <w:rFonts w:ascii="VIC" w:eastAsia="Verdana" w:hAnsi="VIC"/>
                <w:color w:val="000000"/>
                <w:sz w:val="18"/>
                <w:szCs w:val="18"/>
              </w:rPr>
              <w:t>75 %</w:t>
            </w:r>
          </w:p>
        </w:tc>
        <w:tc>
          <w:tcPr>
            <w:tcW w:w="1108" w:type="dxa"/>
          </w:tcPr>
          <w:p w14:paraId="32DB36DB" w14:textId="4AB708EA" w:rsidR="00AC5C83" w:rsidRPr="00BF031D" w:rsidRDefault="00AC5C83" w:rsidP="00AC5C83">
            <w:pPr>
              <w:jc w:val="center"/>
              <w:rPr>
                <w:rFonts w:ascii="VIC" w:hAnsi="VIC"/>
                <w:sz w:val="18"/>
                <w:szCs w:val="18"/>
              </w:rPr>
            </w:pPr>
            <w:r w:rsidRPr="001E2423">
              <w:rPr>
                <w:rFonts w:ascii="VIC" w:eastAsia="Verdana" w:hAnsi="VIC"/>
                <w:color w:val="000000"/>
                <w:sz w:val="18"/>
                <w:szCs w:val="18"/>
              </w:rPr>
              <w:t>5 %</w:t>
            </w:r>
          </w:p>
        </w:tc>
        <w:tc>
          <w:tcPr>
            <w:tcW w:w="1108" w:type="dxa"/>
          </w:tcPr>
          <w:p w14:paraId="1ED4463E" w14:textId="5AF18060" w:rsidR="00AC5C83" w:rsidRPr="00BF031D" w:rsidRDefault="00AC5C83" w:rsidP="00AC5C83">
            <w:pPr>
              <w:jc w:val="center"/>
              <w:rPr>
                <w:rFonts w:ascii="VIC" w:hAnsi="VIC"/>
                <w:sz w:val="18"/>
                <w:szCs w:val="18"/>
              </w:rPr>
            </w:pPr>
            <w:r w:rsidRPr="001E2423">
              <w:rPr>
                <w:rFonts w:ascii="VIC" w:eastAsia="Verdana" w:hAnsi="VIC"/>
                <w:color w:val="000000"/>
                <w:sz w:val="18"/>
                <w:szCs w:val="18"/>
              </w:rPr>
              <w:t>301.6</w:t>
            </w:r>
          </w:p>
        </w:tc>
        <w:tc>
          <w:tcPr>
            <w:tcW w:w="1108" w:type="dxa"/>
          </w:tcPr>
          <w:p w14:paraId="5097892F" w14:textId="316611EA" w:rsidR="00AC5C83" w:rsidRPr="00BF031D" w:rsidRDefault="00AC5C83" w:rsidP="00AC5C83">
            <w:pPr>
              <w:jc w:val="center"/>
              <w:rPr>
                <w:rFonts w:ascii="VIC" w:hAnsi="VIC"/>
                <w:sz w:val="18"/>
                <w:szCs w:val="18"/>
              </w:rPr>
            </w:pPr>
            <w:r w:rsidRPr="001E2423">
              <w:rPr>
                <w:rFonts w:ascii="VIC" w:eastAsia="Verdana" w:hAnsi="VIC"/>
                <w:color w:val="000000"/>
                <w:sz w:val="18"/>
                <w:szCs w:val="18"/>
              </w:rPr>
              <w:t>5.3</w:t>
            </w:r>
          </w:p>
        </w:tc>
        <w:tc>
          <w:tcPr>
            <w:tcW w:w="1109" w:type="dxa"/>
            <w:shd w:val="clear" w:color="auto" w:fill="auto"/>
          </w:tcPr>
          <w:p w14:paraId="6076AB4C" w14:textId="67C5D6BF" w:rsidR="00AC5C83" w:rsidRPr="00BF031D" w:rsidRDefault="00AC5C83" w:rsidP="00AC5C83">
            <w:pPr>
              <w:jc w:val="center"/>
              <w:rPr>
                <w:rFonts w:ascii="VIC" w:hAnsi="VIC"/>
                <w:sz w:val="18"/>
                <w:szCs w:val="18"/>
              </w:rPr>
            </w:pPr>
            <w:r w:rsidRPr="001E2423">
              <w:rPr>
                <w:rFonts w:ascii="VIC" w:eastAsia="Verdana" w:hAnsi="VIC"/>
                <w:color w:val="000000"/>
                <w:sz w:val="18"/>
                <w:szCs w:val="18"/>
              </w:rPr>
              <w:t>30 %</w:t>
            </w:r>
          </w:p>
        </w:tc>
        <w:tc>
          <w:tcPr>
            <w:tcW w:w="1108" w:type="dxa"/>
            <w:shd w:val="clear" w:color="auto" w:fill="auto"/>
          </w:tcPr>
          <w:p w14:paraId="43967540" w14:textId="59C20071" w:rsidR="00AC5C83" w:rsidRPr="00BF031D" w:rsidRDefault="00AC5C83" w:rsidP="00AC5C83">
            <w:pPr>
              <w:jc w:val="center"/>
              <w:rPr>
                <w:rFonts w:ascii="VIC" w:hAnsi="VIC"/>
                <w:sz w:val="18"/>
                <w:szCs w:val="18"/>
              </w:rPr>
            </w:pPr>
            <w:r w:rsidRPr="001E2423">
              <w:rPr>
                <w:rFonts w:ascii="VIC" w:eastAsia="Verdana" w:hAnsi="VIC"/>
                <w:color w:val="000000"/>
                <w:sz w:val="18"/>
                <w:szCs w:val="18"/>
              </w:rPr>
              <w:t>15.9</w:t>
            </w:r>
          </w:p>
        </w:tc>
        <w:tc>
          <w:tcPr>
            <w:tcW w:w="1108" w:type="dxa"/>
            <w:shd w:val="clear" w:color="auto" w:fill="auto"/>
          </w:tcPr>
          <w:p w14:paraId="7E1CEEA4" w14:textId="146A1FD9" w:rsidR="00AC5C83" w:rsidRPr="00BF031D" w:rsidRDefault="00AC5C83" w:rsidP="00AC5C83">
            <w:pPr>
              <w:jc w:val="center"/>
              <w:rPr>
                <w:rFonts w:ascii="VIC" w:hAnsi="VIC"/>
                <w:sz w:val="18"/>
                <w:szCs w:val="18"/>
              </w:rPr>
            </w:pPr>
            <w:r w:rsidRPr="001E2423">
              <w:rPr>
                <w:rFonts w:ascii="VIC" w:eastAsia="Verdana" w:hAnsi="VIC"/>
                <w:color w:val="000000"/>
                <w:sz w:val="18"/>
                <w:szCs w:val="18"/>
              </w:rPr>
              <w:t>100 %</w:t>
            </w:r>
          </w:p>
        </w:tc>
        <w:tc>
          <w:tcPr>
            <w:tcW w:w="1108" w:type="dxa"/>
            <w:shd w:val="clear" w:color="auto" w:fill="auto"/>
          </w:tcPr>
          <w:p w14:paraId="36FBF3FA" w14:textId="32BDA65B" w:rsidR="00AC5C83" w:rsidRPr="00BF031D" w:rsidRDefault="00AC5C83" w:rsidP="00AC5C83">
            <w:pPr>
              <w:jc w:val="center"/>
              <w:rPr>
                <w:rFonts w:ascii="VIC" w:hAnsi="VIC"/>
                <w:sz w:val="18"/>
                <w:szCs w:val="18"/>
              </w:rPr>
            </w:pPr>
            <w:r w:rsidRPr="001E2423">
              <w:rPr>
                <w:rFonts w:ascii="VIC" w:eastAsia="Verdana" w:hAnsi="VIC"/>
                <w:color w:val="000000"/>
                <w:sz w:val="18"/>
                <w:szCs w:val="18"/>
              </w:rPr>
              <w:t>2 %</w:t>
            </w:r>
          </w:p>
        </w:tc>
        <w:tc>
          <w:tcPr>
            <w:tcW w:w="1108" w:type="dxa"/>
            <w:shd w:val="clear" w:color="auto" w:fill="auto"/>
          </w:tcPr>
          <w:p w14:paraId="7ACB94F5" w14:textId="7E7757A8" w:rsidR="00AC5C83" w:rsidRPr="00BF031D" w:rsidRDefault="00AC5C83" w:rsidP="00AC5C83">
            <w:pPr>
              <w:jc w:val="center"/>
              <w:rPr>
                <w:rFonts w:ascii="VIC" w:hAnsi="VIC"/>
                <w:sz w:val="18"/>
                <w:szCs w:val="18"/>
              </w:rPr>
            </w:pPr>
          </w:p>
        </w:tc>
        <w:tc>
          <w:tcPr>
            <w:tcW w:w="1109" w:type="dxa"/>
            <w:shd w:val="clear" w:color="auto" w:fill="auto"/>
          </w:tcPr>
          <w:p w14:paraId="6F1E84B8" w14:textId="1732C527" w:rsidR="00AC5C83" w:rsidRPr="00BF031D" w:rsidRDefault="00AC5C83" w:rsidP="00AC5C83">
            <w:pPr>
              <w:jc w:val="center"/>
              <w:rPr>
                <w:rFonts w:ascii="VIC" w:hAnsi="VIC"/>
                <w:sz w:val="18"/>
                <w:szCs w:val="18"/>
              </w:rPr>
            </w:pPr>
            <w:r w:rsidRPr="001E2423">
              <w:rPr>
                <w:rFonts w:ascii="VIC" w:eastAsia="Verdana" w:hAnsi="VIC"/>
                <w:color w:val="000000"/>
                <w:sz w:val="18"/>
                <w:szCs w:val="18"/>
              </w:rPr>
              <w:t>17 %</w:t>
            </w:r>
          </w:p>
        </w:tc>
      </w:tr>
      <w:tr w:rsidR="00AC5C83" w:rsidRPr="00BF031D" w14:paraId="7C9D3AF1" w14:textId="77777777" w:rsidTr="003D0E58">
        <w:trPr>
          <w:trHeight w:val="454"/>
        </w:trPr>
        <w:tc>
          <w:tcPr>
            <w:tcW w:w="1570" w:type="dxa"/>
            <w:shd w:val="clear" w:color="auto" w:fill="BFCED6"/>
          </w:tcPr>
          <w:p w14:paraId="5A21890A" w14:textId="5E789B9F"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Bendigo Health</w:t>
            </w:r>
          </w:p>
        </w:tc>
        <w:tc>
          <w:tcPr>
            <w:tcW w:w="1985" w:type="dxa"/>
            <w:shd w:val="clear" w:color="auto" w:fill="BFCED6"/>
          </w:tcPr>
          <w:p w14:paraId="53932597" w14:textId="4719FC89"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Loddon/Southern Mallee</w:t>
            </w:r>
          </w:p>
        </w:tc>
        <w:tc>
          <w:tcPr>
            <w:tcW w:w="1108" w:type="dxa"/>
            <w:shd w:val="clear" w:color="auto" w:fill="BFCED6"/>
          </w:tcPr>
          <w:p w14:paraId="4F15ED58" w14:textId="73DD8BA8" w:rsidR="00AC5C83" w:rsidRPr="00BF031D" w:rsidRDefault="00AC5C83" w:rsidP="00AC5C83">
            <w:pPr>
              <w:jc w:val="center"/>
              <w:rPr>
                <w:rFonts w:ascii="VIC" w:hAnsi="VIC"/>
                <w:sz w:val="18"/>
                <w:szCs w:val="18"/>
              </w:rPr>
            </w:pPr>
            <w:r w:rsidRPr="001E2423">
              <w:rPr>
                <w:rFonts w:ascii="VIC" w:eastAsia="Verdana" w:hAnsi="VIC"/>
                <w:color w:val="000000"/>
                <w:sz w:val="18"/>
                <w:szCs w:val="18"/>
              </w:rPr>
              <w:t>70 %</w:t>
            </w:r>
          </w:p>
        </w:tc>
        <w:tc>
          <w:tcPr>
            <w:tcW w:w="1108" w:type="dxa"/>
            <w:shd w:val="clear" w:color="auto" w:fill="BFCED6"/>
          </w:tcPr>
          <w:p w14:paraId="173F1A7E" w14:textId="5E4D8179" w:rsidR="00AC5C83" w:rsidRPr="00BF031D" w:rsidRDefault="00AC5C83" w:rsidP="00AC5C83">
            <w:pPr>
              <w:jc w:val="center"/>
              <w:rPr>
                <w:rFonts w:ascii="VIC" w:hAnsi="VIC"/>
                <w:sz w:val="18"/>
                <w:szCs w:val="18"/>
              </w:rPr>
            </w:pPr>
            <w:r w:rsidRPr="001E2423">
              <w:rPr>
                <w:rFonts w:ascii="VIC" w:eastAsia="Verdana" w:hAnsi="VIC"/>
                <w:color w:val="000000"/>
                <w:sz w:val="18"/>
                <w:szCs w:val="18"/>
              </w:rPr>
              <w:t>82 %</w:t>
            </w:r>
          </w:p>
        </w:tc>
        <w:tc>
          <w:tcPr>
            <w:tcW w:w="1108" w:type="dxa"/>
            <w:shd w:val="clear" w:color="auto" w:fill="BFCED6"/>
          </w:tcPr>
          <w:p w14:paraId="6AE81F39" w14:textId="13AE5A4A" w:rsidR="00AC5C83" w:rsidRPr="00BF031D" w:rsidRDefault="00AC5C83" w:rsidP="00AC5C83">
            <w:pPr>
              <w:jc w:val="center"/>
              <w:rPr>
                <w:rFonts w:ascii="VIC" w:hAnsi="VIC"/>
                <w:sz w:val="18"/>
                <w:szCs w:val="18"/>
              </w:rPr>
            </w:pPr>
            <w:r w:rsidRPr="001E2423">
              <w:rPr>
                <w:rFonts w:ascii="VIC" w:eastAsia="Verdana" w:hAnsi="VIC"/>
                <w:color w:val="000000"/>
                <w:sz w:val="18"/>
                <w:szCs w:val="18"/>
              </w:rPr>
              <w:t>7 %</w:t>
            </w:r>
          </w:p>
        </w:tc>
        <w:tc>
          <w:tcPr>
            <w:tcW w:w="1108" w:type="dxa"/>
            <w:shd w:val="clear" w:color="auto" w:fill="BFCED6"/>
          </w:tcPr>
          <w:p w14:paraId="6602CA89" w14:textId="4E05FC1A" w:rsidR="00AC5C83" w:rsidRPr="00BF031D" w:rsidRDefault="00AC5C83" w:rsidP="00AC5C83">
            <w:pPr>
              <w:jc w:val="center"/>
              <w:rPr>
                <w:rFonts w:ascii="VIC" w:hAnsi="VIC"/>
                <w:sz w:val="18"/>
                <w:szCs w:val="18"/>
              </w:rPr>
            </w:pPr>
            <w:r w:rsidRPr="001E2423">
              <w:rPr>
                <w:rFonts w:ascii="VIC" w:eastAsia="Verdana" w:hAnsi="VIC"/>
                <w:color w:val="000000"/>
                <w:sz w:val="18"/>
                <w:szCs w:val="18"/>
              </w:rPr>
              <w:t>209.0</w:t>
            </w:r>
          </w:p>
        </w:tc>
        <w:tc>
          <w:tcPr>
            <w:tcW w:w="1108" w:type="dxa"/>
            <w:shd w:val="clear" w:color="auto" w:fill="BFCED6"/>
          </w:tcPr>
          <w:p w14:paraId="1420DB4A" w14:textId="1D742AA2" w:rsidR="00AC5C83" w:rsidRPr="00BF031D" w:rsidRDefault="00AC5C83" w:rsidP="00AC5C83">
            <w:pPr>
              <w:jc w:val="center"/>
              <w:rPr>
                <w:rFonts w:ascii="VIC" w:hAnsi="VIC"/>
                <w:sz w:val="18"/>
                <w:szCs w:val="18"/>
              </w:rPr>
            </w:pPr>
            <w:r w:rsidRPr="001E2423">
              <w:rPr>
                <w:rFonts w:ascii="VIC" w:eastAsia="Verdana" w:hAnsi="VIC"/>
                <w:color w:val="000000"/>
                <w:sz w:val="18"/>
                <w:szCs w:val="18"/>
              </w:rPr>
              <w:t>5.7</w:t>
            </w:r>
          </w:p>
        </w:tc>
        <w:tc>
          <w:tcPr>
            <w:tcW w:w="1109" w:type="dxa"/>
            <w:shd w:val="clear" w:color="auto" w:fill="BFCED6"/>
          </w:tcPr>
          <w:p w14:paraId="4B89607A" w14:textId="32A0DD3A"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shd w:val="clear" w:color="auto" w:fill="BFCED6"/>
          </w:tcPr>
          <w:p w14:paraId="704703CE" w14:textId="07212F6C" w:rsidR="00AC5C83" w:rsidRPr="00BF031D" w:rsidRDefault="00AC5C83" w:rsidP="00AC5C83">
            <w:pPr>
              <w:jc w:val="center"/>
              <w:rPr>
                <w:rFonts w:ascii="VIC" w:hAnsi="VIC"/>
                <w:sz w:val="18"/>
                <w:szCs w:val="18"/>
              </w:rPr>
            </w:pPr>
            <w:r w:rsidRPr="001E2423">
              <w:rPr>
                <w:rFonts w:ascii="VIC" w:eastAsia="Verdana" w:hAnsi="VIC"/>
                <w:color w:val="000000"/>
                <w:sz w:val="18"/>
                <w:szCs w:val="18"/>
              </w:rPr>
              <w:t>18.0</w:t>
            </w:r>
          </w:p>
        </w:tc>
        <w:tc>
          <w:tcPr>
            <w:tcW w:w="1108" w:type="dxa"/>
            <w:shd w:val="clear" w:color="auto" w:fill="BFCED6"/>
          </w:tcPr>
          <w:p w14:paraId="6F69EDB8" w14:textId="65C29201" w:rsidR="00AC5C83" w:rsidRPr="00BF031D" w:rsidRDefault="00AC5C83" w:rsidP="00AC5C83">
            <w:pPr>
              <w:jc w:val="center"/>
              <w:rPr>
                <w:rFonts w:ascii="VIC" w:hAnsi="VIC"/>
                <w:sz w:val="18"/>
                <w:szCs w:val="18"/>
              </w:rPr>
            </w:pPr>
            <w:r w:rsidRPr="001E2423">
              <w:rPr>
                <w:rFonts w:ascii="VIC" w:eastAsia="Verdana" w:hAnsi="VIC"/>
                <w:color w:val="000000"/>
                <w:sz w:val="18"/>
                <w:szCs w:val="18"/>
              </w:rPr>
              <w:t>48 %</w:t>
            </w:r>
          </w:p>
        </w:tc>
        <w:tc>
          <w:tcPr>
            <w:tcW w:w="1108" w:type="dxa"/>
            <w:shd w:val="clear" w:color="auto" w:fill="BFCED6"/>
          </w:tcPr>
          <w:p w14:paraId="4DD19DA9" w14:textId="5BBD209D" w:rsidR="00AC5C83" w:rsidRPr="00BF031D" w:rsidRDefault="00AC5C83" w:rsidP="00AC5C83">
            <w:pPr>
              <w:jc w:val="center"/>
              <w:rPr>
                <w:rFonts w:ascii="VIC" w:hAnsi="VIC"/>
                <w:sz w:val="18"/>
                <w:szCs w:val="18"/>
              </w:rPr>
            </w:pPr>
            <w:r w:rsidRPr="001E2423">
              <w:rPr>
                <w:rFonts w:ascii="VIC" w:eastAsia="Verdana" w:hAnsi="VIC"/>
                <w:color w:val="000000"/>
                <w:sz w:val="18"/>
                <w:szCs w:val="18"/>
              </w:rPr>
              <w:t>21 %</w:t>
            </w:r>
          </w:p>
        </w:tc>
        <w:tc>
          <w:tcPr>
            <w:tcW w:w="1108" w:type="dxa"/>
            <w:shd w:val="clear" w:color="auto" w:fill="BFCED6"/>
          </w:tcPr>
          <w:p w14:paraId="7D9A32EF" w14:textId="68D6FF9C" w:rsidR="00AC5C83" w:rsidRPr="00BF031D" w:rsidRDefault="00AC5C83" w:rsidP="00AC5C83">
            <w:pPr>
              <w:jc w:val="center"/>
              <w:rPr>
                <w:rFonts w:ascii="VIC" w:hAnsi="VIC"/>
                <w:sz w:val="18"/>
                <w:szCs w:val="18"/>
              </w:rPr>
            </w:pPr>
            <w:r w:rsidRPr="001E2423">
              <w:rPr>
                <w:rFonts w:ascii="VIC" w:eastAsia="Verdana" w:hAnsi="VIC"/>
                <w:color w:val="000000"/>
                <w:sz w:val="18"/>
                <w:szCs w:val="18"/>
              </w:rPr>
              <w:t>0.6</w:t>
            </w:r>
          </w:p>
        </w:tc>
        <w:tc>
          <w:tcPr>
            <w:tcW w:w="1109" w:type="dxa"/>
            <w:shd w:val="clear" w:color="auto" w:fill="BFCED6"/>
          </w:tcPr>
          <w:p w14:paraId="1FA0F329" w14:textId="27272300" w:rsidR="00AC5C83" w:rsidRPr="00BF031D" w:rsidRDefault="00AC5C83" w:rsidP="00AC5C83">
            <w:pPr>
              <w:jc w:val="center"/>
              <w:rPr>
                <w:rFonts w:ascii="VIC" w:hAnsi="VIC"/>
                <w:sz w:val="18"/>
                <w:szCs w:val="18"/>
              </w:rPr>
            </w:pPr>
            <w:r w:rsidRPr="001E2423">
              <w:rPr>
                <w:rFonts w:ascii="VIC" w:eastAsia="Verdana" w:hAnsi="VIC"/>
                <w:color w:val="000000"/>
                <w:sz w:val="18"/>
                <w:szCs w:val="18"/>
              </w:rPr>
              <w:t>19 %</w:t>
            </w:r>
          </w:p>
        </w:tc>
      </w:tr>
      <w:tr w:rsidR="00AC5C83" w:rsidRPr="00BF031D" w14:paraId="378AD368" w14:textId="77777777" w:rsidTr="003D0E58">
        <w:trPr>
          <w:trHeight w:val="454"/>
        </w:trPr>
        <w:tc>
          <w:tcPr>
            <w:tcW w:w="1570" w:type="dxa"/>
            <w:shd w:val="clear" w:color="auto" w:fill="auto"/>
          </w:tcPr>
          <w:p w14:paraId="75748960" w14:textId="126F2A05"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Goulburn Valley Health</w:t>
            </w:r>
          </w:p>
        </w:tc>
        <w:tc>
          <w:tcPr>
            <w:tcW w:w="1985" w:type="dxa"/>
            <w:shd w:val="clear" w:color="auto" w:fill="auto"/>
          </w:tcPr>
          <w:p w14:paraId="12C71AD1" w14:textId="4FAA2C2B"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Goulburn &amp; Southern</w:t>
            </w:r>
          </w:p>
        </w:tc>
        <w:tc>
          <w:tcPr>
            <w:tcW w:w="1108" w:type="dxa"/>
            <w:shd w:val="clear" w:color="auto" w:fill="auto"/>
          </w:tcPr>
          <w:p w14:paraId="7B5C8FFA" w14:textId="50A073F2" w:rsidR="00AC5C83" w:rsidRPr="00BF031D" w:rsidRDefault="00AC5C83" w:rsidP="00AC5C83">
            <w:pPr>
              <w:jc w:val="center"/>
              <w:rPr>
                <w:rFonts w:ascii="VIC" w:hAnsi="VIC"/>
                <w:sz w:val="18"/>
                <w:szCs w:val="18"/>
              </w:rPr>
            </w:pPr>
            <w:r w:rsidRPr="001E2423">
              <w:rPr>
                <w:rFonts w:ascii="VIC" w:eastAsia="Verdana" w:hAnsi="VIC"/>
                <w:color w:val="000000"/>
                <w:sz w:val="18"/>
                <w:szCs w:val="18"/>
              </w:rPr>
              <w:t>43 %</w:t>
            </w:r>
          </w:p>
        </w:tc>
        <w:tc>
          <w:tcPr>
            <w:tcW w:w="1108" w:type="dxa"/>
            <w:shd w:val="clear" w:color="auto" w:fill="auto"/>
          </w:tcPr>
          <w:p w14:paraId="290C51AC" w14:textId="560573B9" w:rsidR="00AC5C83" w:rsidRPr="00BF031D" w:rsidRDefault="00AC5C83" w:rsidP="00AC5C83">
            <w:pPr>
              <w:jc w:val="center"/>
              <w:rPr>
                <w:rFonts w:ascii="VIC" w:hAnsi="VIC"/>
                <w:sz w:val="18"/>
                <w:szCs w:val="18"/>
              </w:rPr>
            </w:pPr>
            <w:r w:rsidRPr="001E2423">
              <w:rPr>
                <w:rFonts w:ascii="VIC" w:eastAsia="Verdana" w:hAnsi="VIC"/>
                <w:color w:val="000000"/>
                <w:sz w:val="18"/>
                <w:szCs w:val="18"/>
              </w:rPr>
              <w:t>88 %</w:t>
            </w:r>
          </w:p>
        </w:tc>
        <w:tc>
          <w:tcPr>
            <w:tcW w:w="1108" w:type="dxa"/>
          </w:tcPr>
          <w:p w14:paraId="58A60408" w14:textId="5F3EC854" w:rsidR="00AC5C83" w:rsidRPr="00BF031D" w:rsidRDefault="00AC5C83" w:rsidP="00AC5C83">
            <w:pPr>
              <w:jc w:val="center"/>
              <w:rPr>
                <w:rFonts w:ascii="VIC" w:hAnsi="VIC"/>
                <w:sz w:val="18"/>
                <w:szCs w:val="18"/>
              </w:rPr>
            </w:pPr>
            <w:r w:rsidRPr="001E2423">
              <w:rPr>
                <w:rFonts w:ascii="VIC" w:eastAsia="Verdana" w:hAnsi="VIC"/>
                <w:color w:val="000000"/>
                <w:sz w:val="18"/>
                <w:szCs w:val="18"/>
              </w:rPr>
              <w:t>6 %</w:t>
            </w:r>
          </w:p>
        </w:tc>
        <w:tc>
          <w:tcPr>
            <w:tcW w:w="1108" w:type="dxa"/>
          </w:tcPr>
          <w:p w14:paraId="73F58ADC" w14:textId="13F98C16" w:rsidR="00AC5C83" w:rsidRPr="00BF031D" w:rsidRDefault="00AC5C83" w:rsidP="00AC5C83">
            <w:pPr>
              <w:jc w:val="center"/>
              <w:rPr>
                <w:rFonts w:ascii="VIC" w:hAnsi="VIC"/>
                <w:sz w:val="18"/>
                <w:szCs w:val="18"/>
              </w:rPr>
            </w:pPr>
            <w:r w:rsidRPr="001E2423">
              <w:rPr>
                <w:rFonts w:ascii="VIC" w:eastAsia="Verdana" w:hAnsi="VIC"/>
                <w:color w:val="000000"/>
                <w:sz w:val="18"/>
                <w:szCs w:val="18"/>
              </w:rPr>
              <w:t>294.1</w:t>
            </w:r>
          </w:p>
        </w:tc>
        <w:tc>
          <w:tcPr>
            <w:tcW w:w="1108" w:type="dxa"/>
          </w:tcPr>
          <w:p w14:paraId="2DDCFF9A" w14:textId="31AB5E64" w:rsidR="00AC5C83" w:rsidRPr="00BF031D" w:rsidRDefault="00AC5C83" w:rsidP="00AC5C83">
            <w:pPr>
              <w:jc w:val="center"/>
              <w:rPr>
                <w:rFonts w:ascii="VIC" w:hAnsi="VIC"/>
                <w:sz w:val="18"/>
                <w:szCs w:val="18"/>
              </w:rPr>
            </w:pPr>
            <w:r w:rsidRPr="001E2423">
              <w:rPr>
                <w:rFonts w:ascii="VIC" w:eastAsia="Verdana" w:hAnsi="VIC"/>
                <w:color w:val="000000"/>
                <w:sz w:val="18"/>
                <w:szCs w:val="18"/>
              </w:rPr>
              <w:t>5.4</w:t>
            </w:r>
          </w:p>
        </w:tc>
        <w:tc>
          <w:tcPr>
            <w:tcW w:w="1109" w:type="dxa"/>
            <w:shd w:val="clear" w:color="auto" w:fill="auto"/>
          </w:tcPr>
          <w:p w14:paraId="12467D28" w14:textId="3CE6A3C9" w:rsidR="00AC5C83" w:rsidRPr="00BF031D" w:rsidRDefault="00AC5C83" w:rsidP="00AC5C83">
            <w:pPr>
              <w:jc w:val="center"/>
              <w:rPr>
                <w:rFonts w:ascii="VIC" w:hAnsi="VIC"/>
                <w:sz w:val="18"/>
                <w:szCs w:val="18"/>
              </w:rPr>
            </w:pPr>
            <w:r w:rsidRPr="001E2423">
              <w:rPr>
                <w:rFonts w:ascii="VIC" w:eastAsia="Verdana" w:hAnsi="VIC"/>
                <w:color w:val="000000"/>
                <w:sz w:val="18"/>
                <w:szCs w:val="18"/>
              </w:rPr>
              <w:t>88 %</w:t>
            </w:r>
          </w:p>
        </w:tc>
        <w:tc>
          <w:tcPr>
            <w:tcW w:w="1108" w:type="dxa"/>
            <w:shd w:val="clear" w:color="auto" w:fill="auto"/>
          </w:tcPr>
          <w:p w14:paraId="353C2293" w14:textId="0BBCA27D" w:rsidR="00AC5C83" w:rsidRPr="00BF031D" w:rsidRDefault="00AC5C83" w:rsidP="00AC5C83">
            <w:pPr>
              <w:jc w:val="center"/>
              <w:rPr>
                <w:rFonts w:ascii="VIC" w:hAnsi="VIC"/>
                <w:sz w:val="18"/>
                <w:szCs w:val="18"/>
              </w:rPr>
            </w:pPr>
            <w:r w:rsidRPr="001E2423">
              <w:rPr>
                <w:rFonts w:ascii="VIC" w:eastAsia="Verdana" w:hAnsi="VIC"/>
                <w:color w:val="000000"/>
                <w:sz w:val="18"/>
                <w:szCs w:val="18"/>
              </w:rPr>
              <w:t>15.6</w:t>
            </w:r>
          </w:p>
        </w:tc>
        <w:tc>
          <w:tcPr>
            <w:tcW w:w="1108" w:type="dxa"/>
            <w:shd w:val="clear" w:color="auto" w:fill="auto"/>
          </w:tcPr>
          <w:p w14:paraId="5F074056" w14:textId="7B4F1F5B" w:rsidR="00AC5C83" w:rsidRPr="00BF031D" w:rsidRDefault="00AC5C83" w:rsidP="00AC5C83">
            <w:pPr>
              <w:jc w:val="center"/>
              <w:rPr>
                <w:rFonts w:ascii="VIC" w:hAnsi="VIC"/>
                <w:sz w:val="18"/>
                <w:szCs w:val="18"/>
              </w:rPr>
            </w:pPr>
            <w:r w:rsidRPr="001E2423">
              <w:rPr>
                <w:rFonts w:ascii="VIC" w:eastAsia="Verdana" w:hAnsi="VIC"/>
                <w:color w:val="000000"/>
                <w:sz w:val="18"/>
                <w:szCs w:val="18"/>
              </w:rPr>
              <w:t>57 %</w:t>
            </w:r>
          </w:p>
        </w:tc>
        <w:tc>
          <w:tcPr>
            <w:tcW w:w="1108" w:type="dxa"/>
            <w:shd w:val="clear" w:color="auto" w:fill="auto"/>
          </w:tcPr>
          <w:p w14:paraId="343C0267" w14:textId="40A5905E" w:rsidR="00AC5C83" w:rsidRPr="00BF031D" w:rsidRDefault="00AC5C83" w:rsidP="00AC5C83">
            <w:pPr>
              <w:jc w:val="center"/>
              <w:rPr>
                <w:rFonts w:ascii="VIC" w:hAnsi="VIC"/>
                <w:sz w:val="18"/>
                <w:szCs w:val="18"/>
              </w:rPr>
            </w:pPr>
            <w:r w:rsidRPr="001E2423">
              <w:rPr>
                <w:rFonts w:ascii="VIC" w:eastAsia="Verdana" w:hAnsi="VIC"/>
                <w:color w:val="000000"/>
                <w:sz w:val="18"/>
                <w:szCs w:val="18"/>
              </w:rPr>
              <w:t>24 %</w:t>
            </w:r>
          </w:p>
        </w:tc>
        <w:tc>
          <w:tcPr>
            <w:tcW w:w="1108" w:type="dxa"/>
            <w:shd w:val="clear" w:color="auto" w:fill="auto"/>
          </w:tcPr>
          <w:p w14:paraId="7D34F71D" w14:textId="6092C0C7" w:rsidR="00AC5C83" w:rsidRPr="00BF031D" w:rsidRDefault="00AC5C83" w:rsidP="00AC5C83">
            <w:pPr>
              <w:jc w:val="center"/>
              <w:rPr>
                <w:rFonts w:ascii="VIC" w:hAnsi="VIC"/>
                <w:sz w:val="18"/>
                <w:szCs w:val="18"/>
              </w:rPr>
            </w:pPr>
            <w:r w:rsidRPr="001E2423">
              <w:rPr>
                <w:rFonts w:ascii="VIC" w:eastAsia="Verdana" w:hAnsi="VIC"/>
                <w:color w:val="000000"/>
                <w:sz w:val="18"/>
                <w:szCs w:val="18"/>
              </w:rPr>
              <w:t>1.4</w:t>
            </w:r>
          </w:p>
        </w:tc>
        <w:tc>
          <w:tcPr>
            <w:tcW w:w="1109" w:type="dxa"/>
            <w:shd w:val="clear" w:color="auto" w:fill="auto"/>
          </w:tcPr>
          <w:p w14:paraId="73F92199" w14:textId="3EC1D018" w:rsidR="00AC5C83" w:rsidRPr="00BF031D" w:rsidRDefault="00AC5C83" w:rsidP="00AC5C83">
            <w:pPr>
              <w:jc w:val="center"/>
              <w:rPr>
                <w:rFonts w:ascii="VIC" w:hAnsi="VIC"/>
                <w:sz w:val="18"/>
                <w:szCs w:val="18"/>
              </w:rPr>
            </w:pPr>
            <w:r w:rsidRPr="001E2423">
              <w:rPr>
                <w:rFonts w:ascii="VIC" w:eastAsia="Verdana" w:hAnsi="VIC"/>
                <w:color w:val="000000"/>
                <w:sz w:val="18"/>
                <w:szCs w:val="18"/>
              </w:rPr>
              <w:t>35 %</w:t>
            </w:r>
          </w:p>
        </w:tc>
      </w:tr>
      <w:tr w:rsidR="00AC5C83" w:rsidRPr="00BF031D" w14:paraId="06B3FB50" w14:textId="77777777" w:rsidTr="003D0E58">
        <w:trPr>
          <w:trHeight w:val="454"/>
        </w:trPr>
        <w:tc>
          <w:tcPr>
            <w:tcW w:w="1570" w:type="dxa"/>
            <w:shd w:val="clear" w:color="auto" w:fill="BFCED6"/>
          </w:tcPr>
          <w:p w14:paraId="63DD1B1D" w14:textId="6EE36CB0"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Latrobe Regional</w:t>
            </w:r>
          </w:p>
        </w:tc>
        <w:tc>
          <w:tcPr>
            <w:tcW w:w="1985" w:type="dxa"/>
            <w:shd w:val="clear" w:color="auto" w:fill="BFCED6"/>
          </w:tcPr>
          <w:p w14:paraId="34661BAD" w14:textId="579654BE"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Gippsland</w:t>
            </w:r>
          </w:p>
        </w:tc>
        <w:tc>
          <w:tcPr>
            <w:tcW w:w="1108" w:type="dxa"/>
            <w:shd w:val="clear" w:color="auto" w:fill="BFCED6"/>
          </w:tcPr>
          <w:p w14:paraId="4C408427" w14:textId="0C0EE3EE" w:rsidR="00AC5C83" w:rsidRPr="00BF031D" w:rsidRDefault="00AC5C83" w:rsidP="00AC5C83">
            <w:pPr>
              <w:jc w:val="center"/>
              <w:rPr>
                <w:rFonts w:ascii="VIC" w:hAnsi="VIC"/>
                <w:sz w:val="18"/>
                <w:szCs w:val="18"/>
              </w:rPr>
            </w:pPr>
            <w:r w:rsidRPr="001E2423">
              <w:rPr>
                <w:rFonts w:ascii="VIC" w:eastAsia="Verdana" w:hAnsi="VIC"/>
                <w:color w:val="000000"/>
                <w:sz w:val="18"/>
                <w:szCs w:val="18"/>
              </w:rPr>
              <w:t>43 %</w:t>
            </w:r>
          </w:p>
        </w:tc>
        <w:tc>
          <w:tcPr>
            <w:tcW w:w="1108" w:type="dxa"/>
            <w:shd w:val="clear" w:color="auto" w:fill="BFCED6"/>
          </w:tcPr>
          <w:p w14:paraId="621AB0DF" w14:textId="7C47E7D0" w:rsidR="00AC5C83" w:rsidRPr="00BF031D" w:rsidRDefault="00AC5C83" w:rsidP="00AC5C83">
            <w:pPr>
              <w:jc w:val="center"/>
              <w:rPr>
                <w:rFonts w:ascii="VIC" w:hAnsi="VIC"/>
                <w:sz w:val="18"/>
                <w:szCs w:val="18"/>
              </w:rPr>
            </w:pPr>
            <w:r w:rsidRPr="001E2423">
              <w:rPr>
                <w:rFonts w:ascii="VIC" w:eastAsia="Verdana" w:hAnsi="VIC"/>
                <w:color w:val="000000"/>
                <w:sz w:val="18"/>
                <w:szCs w:val="18"/>
              </w:rPr>
              <w:t>94 %</w:t>
            </w:r>
          </w:p>
        </w:tc>
        <w:tc>
          <w:tcPr>
            <w:tcW w:w="1108" w:type="dxa"/>
            <w:shd w:val="clear" w:color="auto" w:fill="BFCED6"/>
          </w:tcPr>
          <w:p w14:paraId="350039A6" w14:textId="0A6F1C33" w:rsidR="00AC5C83" w:rsidRPr="00BF031D" w:rsidRDefault="00AC5C83" w:rsidP="00AC5C83">
            <w:pPr>
              <w:jc w:val="center"/>
              <w:rPr>
                <w:rFonts w:ascii="VIC" w:hAnsi="VIC"/>
                <w:sz w:val="18"/>
                <w:szCs w:val="18"/>
              </w:rPr>
            </w:pPr>
            <w:r w:rsidRPr="001E2423">
              <w:rPr>
                <w:rFonts w:ascii="VIC" w:eastAsia="Verdana" w:hAnsi="VIC"/>
                <w:color w:val="000000"/>
                <w:sz w:val="18"/>
                <w:szCs w:val="18"/>
              </w:rPr>
              <w:t>10 %</w:t>
            </w:r>
          </w:p>
        </w:tc>
        <w:tc>
          <w:tcPr>
            <w:tcW w:w="1108" w:type="dxa"/>
            <w:shd w:val="clear" w:color="auto" w:fill="BFCED6"/>
          </w:tcPr>
          <w:p w14:paraId="64B05897" w14:textId="13BA686B" w:rsidR="00AC5C83" w:rsidRPr="00BF031D" w:rsidRDefault="00AC5C83" w:rsidP="00AC5C83">
            <w:pPr>
              <w:jc w:val="center"/>
              <w:rPr>
                <w:rFonts w:ascii="VIC" w:hAnsi="VIC"/>
                <w:sz w:val="18"/>
                <w:szCs w:val="18"/>
              </w:rPr>
            </w:pPr>
            <w:r w:rsidRPr="001E2423">
              <w:rPr>
                <w:rFonts w:ascii="VIC" w:eastAsia="Verdana" w:hAnsi="VIC"/>
                <w:color w:val="000000"/>
                <w:sz w:val="18"/>
                <w:szCs w:val="18"/>
              </w:rPr>
              <w:t>314.8</w:t>
            </w:r>
          </w:p>
        </w:tc>
        <w:tc>
          <w:tcPr>
            <w:tcW w:w="1108" w:type="dxa"/>
            <w:shd w:val="clear" w:color="auto" w:fill="BFCED6"/>
          </w:tcPr>
          <w:p w14:paraId="5C43770A" w14:textId="6C795D4B" w:rsidR="00AC5C83" w:rsidRPr="00BF031D" w:rsidRDefault="00AC5C83" w:rsidP="00AC5C83">
            <w:pPr>
              <w:jc w:val="center"/>
              <w:rPr>
                <w:rFonts w:ascii="VIC" w:hAnsi="VIC"/>
                <w:sz w:val="18"/>
                <w:szCs w:val="18"/>
              </w:rPr>
            </w:pPr>
            <w:r w:rsidRPr="001E2423">
              <w:rPr>
                <w:rFonts w:ascii="VIC" w:eastAsia="Verdana" w:hAnsi="VIC"/>
                <w:color w:val="000000"/>
                <w:sz w:val="18"/>
                <w:szCs w:val="18"/>
              </w:rPr>
              <w:t>4.2</w:t>
            </w:r>
          </w:p>
        </w:tc>
        <w:tc>
          <w:tcPr>
            <w:tcW w:w="1109" w:type="dxa"/>
            <w:shd w:val="clear" w:color="auto" w:fill="BFCED6"/>
          </w:tcPr>
          <w:p w14:paraId="233AA0D6" w14:textId="34493763" w:rsidR="00AC5C83" w:rsidRPr="00BF031D" w:rsidRDefault="00AC5C83" w:rsidP="00AC5C83">
            <w:pPr>
              <w:jc w:val="center"/>
              <w:rPr>
                <w:rFonts w:ascii="VIC" w:hAnsi="VIC"/>
                <w:sz w:val="18"/>
                <w:szCs w:val="18"/>
              </w:rPr>
            </w:pPr>
            <w:r w:rsidRPr="001E2423">
              <w:rPr>
                <w:rFonts w:ascii="VIC" w:eastAsia="Verdana" w:hAnsi="VIC"/>
                <w:color w:val="000000"/>
                <w:sz w:val="18"/>
                <w:szCs w:val="18"/>
              </w:rPr>
              <w:t>92 %</w:t>
            </w:r>
          </w:p>
        </w:tc>
        <w:tc>
          <w:tcPr>
            <w:tcW w:w="1108" w:type="dxa"/>
            <w:shd w:val="clear" w:color="auto" w:fill="BFCED6"/>
          </w:tcPr>
          <w:p w14:paraId="1B39024B" w14:textId="32C1A43A" w:rsidR="00AC5C83" w:rsidRPr="00BF031D" w:rsidRDefault="00AC5C83" w:rsidP="00AC5C83">
            <w:pPr>
              <w:jc w:val="center"/>
              <w:rPr>
                <w:rFonts w:ascii="VIC" w:hAnsi="VIC"/>
                <w:sz w:val="18"/>
                <w:szCs w:val="18"/>
              </w:rPr>
            </w:pPr>
            <w:r w:rsidRPr="001E2423">
              <w:rPr>
                <w:rFonts w:ascii="VIC" w:eastAsia="Verdana" w:hAnsi="VIC"/>
                <w:color w:val="000000"/>
                <w:sz w:val="18"/>
                <w:szCs w:val="18"/>
              </w:rPr>
              <w:t>15.8</w:t>
            </w:r>
          </w:p>
        </w:tc>
        <w:tc>
          <w:tcPr>
            <w:tcW w:w="1108" w:type="dxa"/>
            <w:shd w:val="clear" w:color="auto" w:fill="BFCED6"/>
          </w:tcPr>
          <w:p w14:paraId="7519B4D6" w14:textId="4EED75B7" w:rsidR="00AC5C83" w:rsidRPr="00BF031D" w:rsidRDefault="00AC5C83" w:rsidP="00AC5C83">
            <w:pPr>
              <w:jc w:val="center"/>
              <w:rPr>
                <w:rFonts w:ascii="VIC" w:hAnsi="VIC"/>
                <w:sz w:val="18"/>
                <w:szCs w:val="18"/>
              </w:rPr>
            </w:pPr>
            <w:r w:rsidRPr="001E2423">
              <w:rPr>
                <w:rFonts w:ascii="VIC" w:eastAsia="Verdana" w:hAnsi="VIC"/>
                <w:color w:val="000000"/>
                <w:sz w:val="18"/>
                <w:szCs w:val="18"/>
              </w:rPr>
              <w:t>55 %</w:t>
            </w:r>
          </w:p>
        </w:tc>
        <w:tc>
          <w:tcPr>
            <w:tcW w:w="1108" w:type="dxa"/>
            <w:shd w:val="clear" w:color="auto" w:fill="BFCED6"/>
          </w:tcPr>
          <w:p w14:paraId="763B5B6B" w14:textId="0685DFBD" w:rsidR="00AC5C83" w:rsidRPr="00BF031D" w:rsidRDefault="00AC5C83" w:rsidP="00AC5C83">
            <w:pPr>
              <w:jc w:val="center"/>
              <w:rPr>
                <w:rFonts w:ascii="VIC" w:hAnsi="VIC"/>
                <w:sz w:val="18"/>
                <w:szCs w:val="18"/>
              </w:rPr>
            </w:pPr>
            <w:r w:rsidRPr="001E2423">
              <w:rPr>
                <w:rFonts w:ascii="VIC" w:eastAsia="Verdana" w:hAnsi="VIC"/>
                <w:color w:val="000000"/>
                <w:sz w:val="18"/>
                <w:szCs w:val="18"/>
              </w:rPr>
              <w:t>13 %</w:t>
            </w:r>
          </w:p>
        </w:tc>
        <w:tc>
          <w:tcPr>
            <w:tcW w:w="1108" w:type="dxa"/>
            <w:shd w:val="clear" w:color="auto" w:fill="BFCED6"/>
          </w:tcPr>
          <w:p w14:paraId="5E2F0471" w14:textId="67EC7ABE" w:rsidR="00AC5C83" w:rsidRPr="00BF031D" w:rsidRDefault="00AC5C83" w:rsidP="00AC5C83">
            <w:pPr>
              <w:jc w:val="center"/>
              <w:rPr>
                <w:rFonts w:ascii="VIC" w:hAnsi="VIC"/>
                <w:sz w:val="18"/>
                <w:szCs w:val="18"/>
              </w:rPr>
            </w:pPr>
            <w:r w:rsidRPr="001E2423">
              <w:rPr>
                <w:rFonts w:ascii="VIC" w:eastAsia="Verdana" w:hAnsi="VIC"/>
                <w:color w:val="000000"/>
                <w:sz w:val="18"/>
                <w:szCs w:val="18"/>
              </w:rPr>
              <w:t>1.5</w:t>
            </w:r>
          </w:p>
        </w:tc>
        <w:tc>
          <w:tcPr>
            <w:tcW w:w="1109" w:type="dxa"/>
            <w:shd w:val="clear" w:color="auto" w:fill="BFCED6"/>
          </w:tcPr>
          <w:p w14:paraId="4CCA4488" w14:textId="550B4B0D" w:rsidR="00AC5C83" w:rsidRPr="00BF031D" w:rsidRDefault="00AC5C83" w:rsidP="00AC5C83">
            <w:pPr>
              <w:jc w:val="center"/>
              <w:rPr>
                <w:rFonts w:ascii="VIC" w:hAnsi="VIC"/>
                <w:sz w:val="18"/>
                <w:szCs w:val="18"/>
              </w:rPr>
            </w:pPr>
            <w:r w:rsidRPr="001E2423">
              <w:rPr>
                <w:rFonts w:ascii="VIC" w:eastAsia="Verdana" w:hAnsi="VIC"/>
                <w:color w:val="000000"/>
                <w:sz w:val="18"/>
                <w:szCs w:val="18"/>
              </w:rPr>
              <w:t>28 %</w:t>
            </w:r>
          </w:p>
        </w:tc>
      </w:tr>
      <w:tr w:rsidR="00AC5C83" w:rsidRPr="00BF031D" w14:paraId="6E37954A" w14:textId="77777777" w:rsidTr="003D0E58">
        <w:trPr>
          <w:trHeight w:val="454"/>
        </w:trPr>
        <w:tc>
          <w:tcPr>
            <w:tcW w:w="1570" w:type="dxa"/>
            <w:shd w:val="clear" w:color="auto" w:fill="auto"/>
          </w:tcPr>
          <w:p w14:paraId="41BCE0BD" w14:textId="3734B4E0"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Mildura Base Hospital</w:t>
            </w:r>
          </w:p>
        </w:tc>
        <w:tc>
          <w:tcPr>
            <w:tcW w:w="1985" w:type="dxa"/>
            <w:shd w:val="clear" w:color="auto" w:fill="auto"/>
          </w:tcPr>
          <w:p w14:paraId="060680BD" w14:textId="6C4180D7"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Northern Mallee</w:t>
            </w:r>
          </w:p>
        </w:tc>
        <w:tc>
          <w:tcPr>
            <w:tcW w:w="1108" w:type="dxa"/>
            <w:shd w:val="clear" w:color="auto" w:fill="auto"/>
          </w:tcPr>
          <w:p w14:paraId="4285907A" w14:textId="08CCA297" w:rsidR="00AC5C83" w:rsidRPr="00BF031D" w:rsidRDefault="00AC5C83" w:rsidP="00AC5C83">
            <w:pPr>
              <w:jc w:val="center"/>
              <w:rPr>
                <w:rFonts w:ascii="VIC" w:hAnsi="VIC"/>
                <w:sz w:val="18"/>
                <w:szCs w:val="18"/>
              </w:rPr>
            </w:pPr>
            <w:r w:rsidRPr="001E2423">
              <w:rPr>
                <w:rFonts w:ascii="VIC" w:eastAsia="Verdana" w:hAnsi="VIC"/>
                <w:color w:val="000000"/>
                <w:sz w:val="18"/>
                <w:szCs w:val="18"/>
              </w:rPr>
              <w:t>45 %</w:t>
            </w:r>
          </w:p>
        </w:tc>
        <w:tc>
          <w:tcPr>
            <w:tcW w:w="1108" w:type="dxa"/>
            <w:shd w:val="clear" w:color="auto" w:fill="auto"/>
          </w:tcPr>
          <w:p w14:paraId="19046C8B" w14:textId="12B74182" w:rsidR="00AC5C83" w:rsidRPr="00BF031D" w:rsidRDefault="00AC5C83" w:rsidP="00AC5C83">
            <w:pPr>
              <w:jc w:val="center"/>
              <w:rPr>
                <w:rFonts w:ascii="VIC" w:hAnsi="VIC"/>
                <w:sz w:val="18"/>
                <w:szCs w:val="18"/>
              </w:rPr>
            </w:pPr>
            <w:r w:rsidRPr="001E2423">
              <w:rPr>
                <w:rFonts w:ascii="VIC" w:eastAsia="Verdana" w:hAnsi="VIC"/>
                <w:color w:val="000000"/>
                <w:sz w:val="18"/>
                <w:szCs w:val="18"/>
              </w:rPr>
              <w:t>100 %</w:t>
            </w:r>
          </w:p>
        </w:tc>
        <w:tc>
          <w:tcPr>
            <w:tcW w:w="1108" w:type="dxa"/>
          </w:tcPr>
          <w:p w14:paraId="59C4CA44" w14:textId="37D67236" w:rsidR="00AC5C83" w:rsidRPr="00BF031D" w:rsidRDefault="00AC5C83" w:rsidP="00AC5C83">
            <w:pPr>
              <w:jc w:val="center"/>
              <w:rPr>
                <w:rFonts w:ascii="VIC" w:hAnsi="VIC"/>
                <w:sz w:val="18"/>
                <w:szCs w:val="18"/>
              </w:rPr>
            </w:pPr>
            <w:r w:rsidRPr="001E2423">
              <w:rPr>
                <w:rFonts w:ascii="VIC" w:eastAsia="Verdana" w:hAnsi="VIC"/>
                <w:color w:val="000000"/>
                <w:sz w:val="18"/>
                <w:szCs w:val="18"/>
              </w:rPr>
              <w:t>7 %</w:t>
            </w:r>
          </w:p>
        </w:tc>
        <w:tc>
          <w:tcPr>
            <w:tcW w:w="1108" w:type="dxa"/>
          </w:tcPr>
          <w:p w14:paraId="6D906E43" w14:textId="43A21957" w:rsidR="00AC5C83" w:rsidRPr="00BF031D" w:rsidRDefault="00AC5C83" w:rsidP="00AC5C83">
            <w:pPr>
              <w:jc w:val="center"/>
              <w:rPr>
                <w:rFonts w:ascii="VIC" w:hAnsi="VIC"/>
                <w:sz w:val="18"/>
                <w:szCs w:val="18"/>
              </w:rPr>
            </w:pPr>
            <w:r w:rsidRPr="001E2423">
              <w:rPr>
                <w:rFonts w:ascii="VIC" w:eastAsia="Verdana" w:hAnsi="VIC"/>
                <w:color w:val="000000"/>
                <w:sz w:val="18"/>
                <w:szCs w:val="18"/>
              </w:rPr>
              <w:t>154.9</w:t>
            </w:r>
          </w:p>
        </w:tc>
        <w:tc>
          <w:tcPr>
            <w:tcW w:w="1108" w:type="dxa"/>
          </w:tcPr>
          <w:p w14:paraId="58E2FF31" w14:textId="3B56438A" w:rsidR="00AC5C83" w:rsidRPr="00BF031D" w:rsidRDefault="00AC5C83" w:rsidP="00AC5C83">
            <w:pPr>
              <w:jc w:val="center"/>
              <w:rPr>
                <w:rFonts w:ascii="VIC" w:hAnsi="VIC"/>
                <w:sz w:val="18"/>
                <w:szCs w:val="18"/>
              </w:rPr>
            </w:pPr>
            <w:r w:rsidRPr="001E2423">
              <w:rPr>
                <w:rFonts w:ascii="VIC" w:eastAsia="Verdana" w:hAnsi="VIC"/>
                <w:color w:val="000000"/>
                <w:sz w:val="18"/>
                <w:szCs w:val="18"/>
              </w:rPr>
              <w:t>7.2</w:t>
            </w:r>
          </w:p>
        </w:tc>
        <w:tc>
          <w:tcPr>
            <w:tcW w:w="1109" w:type="dxa"/>
            <w:shd w:val="clear" w:color="auto" w:fill="auto"/>
          </w:tcPr>
          <w:p w14:paraId="1764E893" w14:textId="3439E104" w:rsidR="00AC5C83" w:rsidRPr="00BF031D" w:rsidRDefault="00AC5C83" w:rsidP="00AC5C83">
            <w:pPr>
              <w:jc w:val="center"/>
              <w:rPr>
                <w:rFonts w:ascii="VIC" w:hAnsi="VIC"/>
                <w:sz w:val="18"/>
                <w:szCs w:val="18"/>
              </w:rPr>
            </w:pPr>
            <w:r w:rsidRPr="001E2423">
              <w:rPr>
                <w:rFonts w:ascii="VIC" w:eastAsia="Verdana" w:hAnsi="VIC"/>
                <w:color w:val="000000"/>
                <w:sz w:val="18"/>
                <w:szCs w:val="18"/>
              </w:rPr>
              <w:t>60 %</w:t>
            </w:r>
          </w:p>
        </w:tc>
        <w:tc>
          <w:tcPr>
            <w:tcW w:w="1108" w:type="dxa"/>
            <w:shd w:val="clear" w:color="auto" w:fill="auto"/>
          </w:tcPr>
          <w:p w14:paraId="153B06DA" w14:textId="0A14397D" w:rsidR="00AC5C83" w:rsidRPr="00BF031D" w:rsidRDefault="00AC5C83" w:rsidP="00AC5C83">
            <w:pPr>
              <w:jc w:val="center"/>
              <w:rPr>
                <w:rFonts w:ascii="VIC" w:hAnsi="VIC"/>
                <w:sz w:val="18"/>
                <w:szCs w:val="18"/>
              </w:rPr>
            </w:pPr>
            <w:r w:rsidRPr="001E2423">
              <w:rPr>
                <w:rFonts w:ascii="VIC" w:eastAsia="Verdana" w:hAnsi="VIC"/>
                <w:color w:val="000000"/>
                <w:sz w:val="18"/>
                <w:szCs w:val="18"/>
              </w:rPr>
              <w:t>18.5</w:t>
            </w:r>
          </w:p>
        </w:tc>
        <w:tc>
          <w:tcPr>
            <w:tcW w:w="1108" w:type="dxa"/>
            <w:shd w:val="clear" w:color="auto" w:fill="auto"/>
          </w:tcPr>
          <w:p w14:paraId="14829C8F" w14:textId="01A0ED96" w:rsidR="00AC5C83" w:rsidRPr="00BF031D" w:rsidRDefault="00AC5C83" w:rsidP="00AC5C83">
            <w:pPr>
              <w:jc w:val="center"/>
              <w:rPr>
                <w:rFonts w:ascii="VIC" w:hAnsi="VIC"/>
                <w:sz w:val="18"/>
                <w:szCs w:val="18"/>
              </w:rPr>
            </w:pPr>
            <w:r w:rsidRPr="001E2423">
              <w:rPr>
                <w:rFonts w:ascii="VIC" w:eastAsia="Verdana" w:hAnsi="VIC"/>
                <w:color w:val="000000"/>
                <w:sz w:val="18"/>
                <w:szCs w:val="18"/>
              </w:rPr>
              <w:t>54 %</w:t>
            </w:r>
          </w:p>
        </w:tc>
        <w:tc>
          <w:tcPr>
            <w:tcW w:w="1108" w:type="dxa"/>
            <w:shd w:val="clear" w:color="auto" w:fill="auto"/>
          </w:tcPr>
          <w:p w14:paraId="71BCD8BD" w14:textId="17B2B883" w:rsidR="00AC5C83" w:rsidRPr="00BF031D" w:rsidRDefault="00AC5C83" w:rsidP="00AC5C83">
            <w:pPr>
              <w:jc w:val="center"/>
              <w:rPr>
                <w:rFonts w:ascii="VIC" w:hAnsi="VIC"/>
                <w:sz w:val="18"/>
                <w:szCs w:val="18"/>
              </w:rPr>
            </w:pPr>
            <w:r w:rsidRPr="001E2423">
              <w:rPr>
                <w:rFonts w:ascii="VIC" w:eastAsia="Verdana" w:hAnsi="VIC"/>
                <w:color w:val="000000"/>
                <w:sz w:val="18"/>
                <w:szCs w:val="18"/>
              </w:rPr>
              <w:t>1 %</w:t>
            </w:r>
          </w:p>
        </w:tc>
        <w:tc>
          <w:tcPr>
            <w:tcW w:w="1108" w:type="dxa"/>
            <w:shd w:val="clear" w:color="auto" w:fill="auto"/>
          </w:tcPr>
          <w:p w14:paraId="74D3ACBD" w14:textId="3E5D418F" w:rsidR="00AC5C83" w:rsidRPr="00BF031D" w:rsidRDefault="00AC5C83" w:rsidP="00AC5C83">
            <w:pPr>
              <w:jc w:val="center"/>
              <w:rPr>
                <w:rFonts w:ascii="VIC" w:hAnsi="VIC"/>
                <w:sz w:val="18"/>
                <w:szCs w:val="18"/>
              </w:rPr>
            </w:pPr>
            <w:r w:rsidRPr="001E2423">
              <w:rPr>
                <w:rFonts w:ascii="VIC" w:eastAsia="Verdana" w:hAnsi="VIC"/>
                <w:color w:val="000000"/>
                <w:sz w:val="18"/>
                <w:szCs w:val="18"/>
              </w:rPr>
              <w:t>2.1</w:t>
            </w:r>
          </w:p>
        </w:tc>
        <w:tc>
          <w:tcPr>
            <w:tcW w:w="1109" w:type="dxa"/>
            <w:shd w:val="clear" w:color="auto" w:fill="auto"/>
          </w:tcPr>
          <w:p w14:paraId="7796C605" w14:textId="5C2B9D47" w:rsidR="00AC5C83" w:rsidRPr="00BF031D" w:rsidRDefault="00AC5C83" w:rsidP="00AC5C83">
            <w:pPr>
              <w:jc w:val="center"/>
              <w:rPr>
                <w:rFonts w:ascii="VIC" w:hAnsi="VIC"/>
                <w:sz w:val="18"/>
                <w:szCs w:val="18"/>
              </w:rPr>
            </w:pPr>
            <w:r w:rsidRPr="001E2423">
              <w:rPr>
                <w:rFonts w:ascii="VIC" w:eastAsia="Verdana" w:hAnsi="VIC"/>
                <w:color w:val="000000"/>
                <w:sz w:val="18"/>
                <w:szCs w:val="18"/>
              </w:rPr>
              <w:t>21 %</w:t>
            </w:r>
          </w:p>
        </w:tc>
      </w:tr>
      <w:tr w:rsidR="00AC5C83" w:rsidRPr="00BF031D" w14:paraId="17A92B7E" w14:textId="77777777" w:rsidTr="0067289E">
        <w:trPr>
          <w:trHeight w:val="454"/>
        </w:trPr>
        <w:tc>
          <w:tcPr>
            <w:tcW w:w="1570" w:type="dxa"/>
            <w:vMerge w:val="restart"/>
            <w:shd w:val="clear" w:color="auto" w:fill="BFCED6"/>
          </w:tcPr>
          <w:p w14:paraId="53AB08DD" w14:textId="27DAD30E"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Albury Wodonga Health</w:t>
            </w:r>
          </w:p>
        </w:tc>
        <w:tc>
          <w:tcPr>
            <w:tcW w:w="1985" w:type="dxa"/>
            <w:shd w:val="clear" w:color="auto" w:fill="BFCED6"/>
          </w:tcPr>
          <w:p w14:paraId="637FE60B" w14:textId="68BA1D77"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Albury - NSW</w:t>
            </w:r>
          </w:p>
        </w:tc>
        <w:tc>
          <w:tcPr>
            <w:tcW w:w="1108" w:type="dxa"/>
            <w:shd w:val="clear" w:color="auto" w:fill="BFCED6"/>
          </w:tcPr>
          <w:p w14:paraId="3CA91315" w14:textId="01C55654" w:rsidR="00AC5C83" w:rsidRPr="00BF031D" w:rsidRDefault="00AC5C83" w:rsidP="00AC5C83">
            <w:pPr>
              <w:jc w:val="center"/>
              <w:rPr>
                <w:rFonts w:ascii="VIC" w:hAnsi="VIC"/>
                <w:sz w:val="18"/>
                <w:szCs w:val="18"/>
              </w:rPr>
            </w:pPr>
          </w:p>
        </w:tc>
        <w:tc>
          <w:tcPr>
            <w:tcW w:w="1108" w:type="dxa"/>
            <w:shd w:val="clear" w:color="auto" w:fill="BFCED6"/>
          </w:tcPr>
          <w:p w14:paraId="3D4DD35D" w14:textId="26540EB7" w:rsidR="00AC5C83" w:rsidRPr="00BF031D" w:rsidRDefault="00AC5C83" w:rsidP="00AC5C83">
            <w:pPr>
              <w:jc w:val="center"/>
              <w:rPr>
                <w:rFonts w:ascii="VIC" w:hAnsi="VIC"/>
                <w:sz w:val="18"/>
                <w:szCs w:val="18"/>
              </w:rPr>
            </w:pPr>
          </w:p>
        </w:tc>
        <w:tc>
          <w:tcPr>
            <w:tcW w:w="1108" w:type="dxa"/>
            <w:shd w:val="clear" w:color="auto" w:fill="BFCED6"/>
          </w:tcPr>
          <w:p w14:paraId="6DB25C3E" w14:textId="484895BF" w:rsidR="00AC5C83" w:rsidRPr="00BF031D" w:rsidRDefault="00AC5C83" w:rsidP="00AC5C83">
            <w:pPr>
              <w:jc w:val="center"/>
              <w:rPr>
                <w:rFonts w:ascii="VIC" w:hAnsi="VIC"/>
                <w:sz w:val="18"/>
                <w:szCs w:val="18"/>
              </w:rPr>
            </w:pPr>
            <w:r w:rsidRPr="001E2423">
              <w:rPr>
                <w:rFonts w:ascii="VIC" w:eastAsia="Verdana" w:hAnsi="VIC"/>
                <w:color w:val="000000"/>
                <w:sz w:val="18"/>
                <w:szCs w:val="18"/>
              </w:rPr>
              <w:t>4 %</w:t>
            </w:r>
          </w:p>
        </w:tc>
        <w:tc>
          <w:tcPr>
            <w:tcW w:w="1108" w:type="dxa"/>
            <w:shd w:val="clear" w:color="auto" w:fill="BFCED6"/>
          </w:tcPr>
          <w:p w14:paraId="6E899EF9" w14:textId="20E70E18" w:rsidR="00AC5C83" w:rsidRPr="00BF031D" w:rsidRDefault="00AC5C83" w:rsidP="00AC5C83">
            <w:pPr>
              <w:jc w:val="center"/>
              <w:rPr>
                <w:rFonts w:ascii="VIC" w:hAnsi="VIC"/>
                <w:sz w:val="18"/>
                <w:szCs w:val="18"/>
              </w:rPr>
            </w:pPr>
            <w:r w:rsidRPr="001E2423">
              <w:rPr>
                <w:rFonts w:ascii="VIC" w:eastAsia="Verdana" w:hAnsi="VIC"/>
                <w:color w:val="000000"/>
                <w:sz w:val="18"/>
                <w:szCs w:val="18"/>
              </w:rPr>
              <w:t>266.7</w:t>
            </w:r>
          </w:p>
        </w:tc>
        <w:tc>
          <w:tcPr>
            <w:tcW w:w="1108" w:type="dxa"/>
            <w:shd w:val="clear" w:color="auto" w:fill="BFCED6"/>
          </w:tcPr>
          <w:p w14:paraId="30A49864" w14:textId="384726FE" w:rsidR="00AC5C83" w:rsidRPr="00BF031D" w:rsidRDefault="00AC5C83" w:rsidP="00AC5C83">
            <w:pPr>
              <w:jc w:val="center"/>
              <w:rPr>
                <w:rFonts w:ascii="VIC" w:hAnsi="VIC"/>
                <w:sz w:val="18"/>
                <w:szCs w:val="18"/>
              </w:rPr>
            </w:pPr>
            <w:r w:rsidRPr="001E2423">
              <w:rPr>
                <w:rFonts w:ascii="VIC" w:eastAsia="Verdana" w:hAnsi="VIC"/>
                <w:color w:val="000000"/>
                <w:sz w:val="18"/>
                <w:szCs w:val="18"/>
              </w:rPr>
              <w:t>0.5</w:t>
            </w:r>
          </w:p>
        </w:tc>
        <w:tc>
          <w:tcPr>
            <w:tcW w:w="1109" w:type="dxa"/>
            <w:shd w:val="clear" w:color="auto" w:fill="BFCED6"/>
          </w:tcPr>
          <w:p w14:paraId="3576F764" w14:textId="1A0F1B0A" w:rsidR="00AC5C83" w:rsidRPr="00BF031D" w:rsidRDefault="00AC5C83" w:rsidP="00AC5C83">
            <w:pPr>
              <w:jc w:val="center"/>
              <w:rPr>
                <w:rFonts w:ascii="VIC" w:hAnsi="VIC"/>
                <w:sz w:val="18"/>
                <w:szCs w:val="18"/>
              </w:rPr>
            </w:pPr>
            <w:r w:rsidRPr="001E2423">
              <w:rPr>
                <w:rFonts w:ascii="VIC" w:eastAsia="Verdana" w:hAnsi="VIC"/>
                <w:color w:val="000000"/>
                <w:sz w:val="18"/>
                <w:szCs w:val="18"/>
              </w:rPr>
              <w:t>25 %</w:t>
            </w:r>
          </w:p>
        </w:tc>
        <w:tc>
          <w:tcPr>
            <w:tcW w:w="1108" w:type="dxa"/>
            <w:shd w:val="clear" w:color="auto" w:fill="BFCED6"/>
          </w:tcPr>
          <w:p w14:paraId="2FFD809C" w14:textId="501D553C" w:rsidR="00AC5C83" w:rsidRPr="00BF031D" w:rsidRDefault="00AC5C83" w:rsidP="00AC5C83">
            <w:pPr>
              <w:jc w:val="center"/>
              <w:rPr>
                <w:rFonts w:ascii="VIC" w:hAnsi="VIC"/>
                <w:sz w:val="18"/>
                <w:szCs w:val="18"/>
              </w:rPr>
            </w:pPr>
            <w:r w:rsidRPr="001E2423">
              <w:rPr>
                <w:rFonts w:ascii="VIC" w:eastAsia="Verdana" w:hAnsi="VIC"/>
                <w:color w:val="000000"/>
                <w:sz w:val="18"/>
                <w:szCs w:val="18"/>
              </w:rPr>
              <w:t>17.5</w:t>
            </w:r>
          </w:p>
        </w:tc>
        <w:tc>
          <w:tcPr>
            <w:tcW w:w="1108" w:type="dxa"/>
            <w:shd w:val="clear" w:color="auto" w:fill="BFCED6"/>
          </w:tcPr>
          <w:p w14:paraId="2B3BACE0" w14:textId="2B4285D1" w:rsidR="00AC5C83" w:rsidRPr="00BF031D" w:rsidRDefault="00AC5C83" w:rsidP="00AC5C83">
            <w:pPr>
              <w:jc w:val="center"/>
              <w:rPr>
                <w:rFonts w:ascii="VIC" w:hAnsi="VIC"/>
                <w:sz w:val="18"/>
                <w:szCs w:val="18"/>
              </w:rPr>
            </w:pPr>
            <w:r w:rsidRPr="001E2423">
              <w:rPr>
                <w:rFonts w:ascii="VIC" w:eastAsia="Verdana" w:hAnsi="VIC"/>
                <w:color w:val="000000"/>
                <w:sz w:val="18"/>
                <w:szCs w:val="18"/>
              </w:rPr>
              <w:t>14 %</w:t>
            </w:r>
          </w:p>
        </w:tc>
        <w:tc>
          <w:tcPr>
            <w:tcW w:w="1108" w:type="dxa"/>
            <w:shd w:val="clear" w:color="auto" w:fill="BFCED6"/>
          </w:tcPr>
          <w:p w14:paraId="2B63DCCD" w14:textId="55E9898C" w:rsidR="00AC5C83" w:rsidRPr="00BF031D" w:rsidRDefault="00AC5C83" w:rsidP="00AC5C83">
            <w:pPr>
              <w:jc w:val="center"/>
              <w:rPr>
                <w:rFonts w:ascii="VIC" w:hAnsi="VIC"/>
                <w:sz w:val="18"/>
                <w:szCs w:val="18"/>
              </w:rPr>
            </w:pPr>
            <w:r w:rsidRPr="001E2423">
              <w:rPr>
                <w:rFonts w:ascii="VIC" w:eastAsia="Verdana" w:hAnsi="VIC"/>
                <w:color w:val="000000"/>
                <w:sz w:val="18"/>
                <w:szCs w:val="18"/>
              </w:rPr>
              <w:t>3 %</w:t>
            </w:r>
          </w:p>
        </w:tc>
        <w:tc>
          <w:tcPr>
            <w:tcW w:w="1108" w:type="dxa"/>
            <w:shd w:val="clear" w:color="auto" w:fill="BFCED6"/>
          </w:tcPr>
          <w:p w14:paraId="311A6CA1" w14:textId="488BE5A3" w:rsidR="00AC5C83" w:rsidRPr="00BF031D" w:rsidRDefault="00AC5C83" w:rsidP="00AC5C83">
            <w:pPr>
              <w:jc w:val="center"/>
              <w:rPr>
                <w:rFonts w:ascii="VIC" w:hAnsi="VIC"/>
                <w:sz w:val="18"/>
                <w:szCs w:val="18"/>
              </w:rPr>
            </w:pPr>
          </w:p>
        </w:tc>
        <w:tc>
          <w:tcPr>
            <w:tcW w:w="1109" w:type="dxa"/>
            <w:shd w:val="clear" w:color="auto" w:fill="BFCED6"/>
          </w:tcPr>
          <w:p w14:paraId="5DC63341" w14:textId="1462178F" w:rsidR="00AC5C83" w:rsidRPr="00BF031D" w:rsidRDefault="00AC5C83" w:rsidP="00AC5C83">
            <w:pPr>
              <w:jc w:val="center"/>
              <w:rPr>
                <w:rFonts w:ascii="VIC" w:hAnsi="VIC"/>
                <w:sz w:val="18"/>
                <w:szCs w:val="18"/>
              </w:rPr>
            </w:pPr>
            <w:r w:rsidRPr="001E2423">
              <w:rPr>
                <w:rFonts w:ascii="VIC" w:eastAsia="Verdana" w:hAnsi="VIC"/>
                <w:color w:val="000000"/>
                <w:sz w:val="18"/>
                <w:szCs w:val="18"/>
              </w:rPr>
              <w:t>10 %</w:t>
            </w:r>
          </w:p>
        </w:tc>
      </w:tr>
      <w:tr w:rsidR="00AC5C83" w:rsidRPr="00BF031D" w14:paraId="7C390EC1" w14:textId="77777777" w:rsidTr="0067289E">
        <w:trPr>
          <w:trHeight w:val="454"/>
        </w:trPr>
        <w:tc>
          <w:tcPr>
            <w:tcW w:w="1570" w:type="dxa"/>
            <w:vMerge/>
            <w:shd w:val="clear" w:color="auto" w:fill="BFCED6"/>
          </w:tcPr>
          <w:p w14:paraId="54C21893" w14:textId="77777777" w:rsidR="00AC5C83" w:rsidRPr="00A83248" w:rsidRDefault="00AC5C83" w:rsidP="00AC5C83">
            <w:pPr>
              <w:pStyle w:val="DHHStabletext"/>
              <w:spacing w:before="0" w:after="0"/>
              <w:rPr>
                <w:rFonts w:ascii="VIC" w:eastAsia="Verdana" w:hAnsi="VIC"/>
                <w:color w:val="000000"/>
                <w:sz w:val="18"/>
              </w:rPr>
            </w:pPr>
          </w:p>
        </w:tc>
        <w:tc>
          <w:tcPr>
            <w:tcW w:w="1985" w:type="dxa"/>
            <w:shd w:val="clear" w:color="auto" w:fill="BFCED6"/>
          </w:tcPr>
          <w:p w14:paraId="35359173" w14:textId="200B895F" w:rsidR="00AC5C83" w:rsidRPr="00A83248" w:rsidRDefault="00AC5C83" w:rsidP="00AC5C83">
            <w:pPr>
              <w:pStyle w:val="DHHStabletext"/>
              <w:spacing w:before="0" w:after="0"/>
              <w:rPr>
                <w:rFonts w:ascii="VIC" w:eastAsia="Verdana" w:hAnsi="VIC"/>
                <w:color w:val="000000"/>
                <w:sz w:val="18"/>
              </w:rPr>
            </w:pPr>
            <w:r w:rsidRPr="001E2423">
              <w:rPr>
                <w:rFonts w:ascii="VIC" w:eastAsia="Verdana" w:hAnsi="VIC"/>
                <w:color w:val="000000"/>
                <w:sz w:val="18"/>
                <w:szCs w:val="18"/>
              </w:rPr>
              <w:t>North East &amp; Border</w:t>
            </w:r>
          </w:p>
        </w:tc>
        <w:tc>
          <w:tcPr>
            <w:tcW w:w="1108" w:type="dxa"/>
            <w:shd w:val="clear" w:color="auto" w:fill="BFCED6"/>
          </w:tcPr>
          <w:p w14:paraId="6319BEA5" w14:textId="58B7536D" w:rsidR="00AC5C83" w:rsidRPr="00BF031D" w:rsidRDefault="00AC5C83" w:rsidP="00AC5C83">
            <w:pPr>
              <w:jc w:val="center"/>
              <w:rPr>
                <w:rFonts w:ascii="VIC" w:hAnsi="VIC"/>
                <w:sz w:val="18"/>
                <w:szCs w:val="18"/>
              </w:rPr>
            </w:pPr>
            <w:r w:rsidRPr="001E2423">
              <w:rPr>
                <w:rFonts w:ascii="VIC" w:eastAsia="Verdana" w:hAnsi="VIC"/>
                <w:color w:val="000000"/>
                <w:sz w:val="18"/>
                <w:szCs w:val="18"/>
              </w:rPr>
              <w:t>50 %</w:t>
            </w:r>
          </w:p>
        </w:tc>
        <w:tc>
          <w:tcPr>
            <w:tcW w:w="1108" w:type="dxa"/>
            <w:shd w:val="clear" w:color="auto" w:fill="BFCED6"/>
          </w:tcPr>
          <w:p w14:paraId="6DB39FEC" w14:textId="3647DF9A" w:rsidR="00AC5C83" w:rsidRPr="00BF031D" w:rsidRDefault="00AC5C83" w:rsidP="00AC5C83">
            <w:pPr>
              <w:jc w:val="center"/>
              <w:rPr>
                <w:rFonts w:ascii="VIC" w:hAnsi="VIC"/>
                <w:sz w:val="18"/>
                <w:szCs w:val="18"/>
              </w:rPr>
            </w:pPr>
            <w:r w:rsidRPr="001E2423">
              <w:rPr>
                <w:rFonts w:ascii="VIC" w:eastAsia="Verdana" w:hAnsi="VIC"/>
                <w:color w:val="000000"/>
                <w:sz w:val="18"/>
                <w:szCs w:val="18"/>
              </w:rPr>
              <w:t>57 %</w:t>
            </w:r>
          </w:p>
        </w:tc>
        <w:tc>
          <w:tcPr>
            <w:tcW w:w="1108" w:type="dxa"/>
            <w:shd w:val="clear" w:color="auto" w:fill="BFCED6"/>
          </w:tcPr>
          <w:p w14:paraId="1F0B14BA" w14:textId="5B7CE06E" w:rsidR="00AC5C83" w:rsidRPr="00BF031D" w:rsidRDefault="00AC5C83" w:rsidP="00AC5C83">
            <w:pPr>
              <w:jc w:val="center"/>
              <w:rPr>
                <w:rFonts w:ascii="VIC" w:hAnsi="VIC"/>
                <w:sz w:val="18"/>
                <w:szCs w:val="18"/>
              </w:rPr>
            </w:pPr>
            <w:r w:rsidRPr="001E2423">
              <w:rPr>
                <w:rFonts w:ascii="VIC" w:eastAsia="Verdana" w:hAnsi="VIC"/>
                <w:color w:val="000000"/>
                <w:sz w:val="18"/>
                <w:szCs w:val="18"/>
              </w:rPr>
              <w:t>11 %</w:t>
            </w:r>
          </w:p>
        </w:tc>
        <w:tc>
          <w:tcPr>
            <w:tcW w:w="1108" w:type="dxa"/>
            <w:shd w:val="clear" w:color="auto" w:fill="BFCED6"/>
          </w:tcPr>
          <w:p w14:paraId="0726DDF1" w14:textId="7A4F97EE" w:rsidR="00AC5C83" w:rsidRPr="00BF031D" w:rsidRDefault="00AC5C83" w:rsidP="00AC5C83">
            <w:pPr>
              <w:jc w:val="center"/>
              <w:rPr>
                <w:rFonts w:ascii="VIC" w:hAnsi="VIC"/>
                <w:sz w:val="18"/>
                <w:szCs w:val="18"/>
              </w:rPr>
            </w:pPr>
            <w:r w:rsidRPr="001E2423">
              <w:rPr>
                <w:rFonts w:ascii="VIC" w:eastAsia="Verdana" w:hAnsi="VIC"/>
                <w:color w:val="000000"/>
                <w:sz w:val="18"/>
                <w:szCs w:val="18"/>
              </w:rPr>
              <w:t>136.5</w:t>
            </w:r>
          </w:p>
        </w:tc>
        <w:tc>
          <w:tcPr>
            <w:tcW w:w="1108" w:type="dxa"/>
            <w:shd w:val="clear" w:color="auto" w:fill="BFCED6"/>
          </w:tcPr>
          <w:p w14:paraId="791D2D21" w14:textId="25DE00FA" w:rsidR="00AC5C83" w:rsidRPr="00BF031D" w:rsidRDefault="00AC5C83" w:rsidP="00AC5C83">
            <w:pPr>
              <w:jc w:val="center"/>
              <w:rPr>
                <w:rFonts w:ascii="VIC" w:hAnsi="VIC"/>
                <w:sz w:val="18"/>
                <w:szCs w:val="18"/>
              </w:rPr>
            </w:pPr>
            <w:r w:rsidRPr="001E2423">
              <w:rPr>
                <w:rFonts w:ascii="VIC" w:eastAsia="Verdana" w:hAnsi="VIC"/>
                <w:color w:val="000000"/>
                <w:sz w:val="18"/>
                <w:szCs w:val="18"/>
              </w:rPr>
              <w:t>1.9</w:t>
            </w:r>
          </w:p>
        </w:tc>
        <w:tc>
          <w:tcPr>
            <w:tcW w:w="1109" w:type="dxa"/>
            <w:shd w:val="clear" w:color="auto" w:fill="BFCED6"/>
          </w:tcPr>
          <w:p w14:paraId="6F594F3C" w14:textId="1284B8A2" w:rsidR="00AC5C83" w:rsidRPr="00BF031D" w:rsidRDefault="00AC5C83" w:rsidP="00AC5C83">
            <w:pPr>
              <w:jc w:val="center"/>
              <w:rPr>
                <w:rFonts w:ascii="VIC" w:hAnsi="VIC"/>
                <w:sz w:val="18"/>
                <w:szCs w:val="18"/>
              </w:rPr>
            </w:pPr>
            <w:r w:rsidRPr="001E2423">
              <w:rPr>
                <w:rFonts w:ascii="VIC" w:eastAsia="Verdana" w:hAnsi="VIC"/>
                <w:color w:val="000000"/>
                <w:sz w:val="18"/>
                <w:szCs w:val="18"/>
              </w:rPr>
              <w:t>42 %</w:t>
            </w:r>
          </w:p>
        </w:tc>
        <w:tc>
          <w:tcPr>
            <w:tcW w:w="1108" w:type="dxa"/>
            <w:shd w:val="clear" w:color="auto" w:fill="BFCED6"/>
          </w:tcPr>
          <w:p w14:paraId="5041A190" w14:textId="45BBAF24" w:rsidR="00AC5C83" w:rsidRPr="00BF031D" w:rsidRDefault="00AC5C83" w:rsidP="00AC5C83">
            <w:pPr>
              <w:jc w:val="center"/>
              <w:rPr>
                <w:rFonts w:ascii="VIC" w:hAnsi="VIC"/>
                <w:sz w:val="18"/>
                <w:szCs w:val="18"/>
              </w:rPr>
            </w:pPr>
            <w:r w:rsidRPr="001E2423">
              <w:rPr>
                <w:rFonts w:ascii="VIC" w:eastAsia="Verdana" w:hAnsi="VIC"/>
                <w:color w:val="000000"/>
                <w:sz w:val="18"/>
                <w:szCs w:val="18"/>
              </w:rPr>
              <w:t>16.1</w:t>
            </w:r>
          </w:p>
        </w:tc>
        <w:tc>
          <w:tcPr>
            <w:tcW w:w="1108" w:type="dxa"/>
            <w:shd w:val="clear" w:color="auto" w:fill="BFCED6"/>
          </w:tcPr>
          <w:p w14:paraId="00DFF964" w14:textId="06DEDE32" w:rsidR="00AC5C83" w:rsidRPr="00BF031D" w:rsidRDefault="00AC5C83" w:rsidP="00AC5C83">
            <w:pPr>
              <w:jc w:val="center"/>
              <w:rPr>
                <w:rFonts w:ascii="VIC" w:hAnsi="VIC"/>
                <w:sz w:val="18"/>
                <w:szCs w:val="18"/>
              </w:rPr>
            </w:pPr>
            <w:r w:rsidRPr="001E2423">
              <w:rPr>
                <w:rFonts w:ascii="VIC" w:eastAsia="Verdana" w:hAnsi="VIC"/>
                <w:color w:val="000000"/>
                <w:sz w:val="18"/>
                <w:szCs w:val="18"/>
              </w:rPr>
              <w:t>55 %</w:t>
            </w:r>
          </w:p>
        </w:tc>
        <w:tc>
          <w:tcPr>
            <w:tcW w:w="1108" w:type="dxa"/>
            <w:shd w:val="clear" w:color="auto" w:fill="BFCED6"/>
          </w:tcPr>
          <w:p w14:paraId="2B6F3045" w14:textId="003C306B" w:rsidR="00AC5C83" w:rsidRPr="00BF031D" w:rsidRDefault="00AC5C83" w:rsidP="00AC5C83">
            <w:pPr>
              <w:jc w:val="center"/>
              <w:rPr>
                <w:rFonts w:ascii="VIC" w:hAnsi="VIC"/>
                <w:sz w:val="18"/>
                <w:szCs w:val="18"/>
              </w:rPr>
            </w:pPr>
            <w:r w:rsidRPr="001E2423">
              <w:rPr>
                <w:rFonts w:ascii="VIC" w:eastAsia="Verdana" w:hAnsi="VIC"/>
                <w:color w:val="000000"/>
                <w:sz w:val="18"/>
                <w:szCs w:val="18"/>
              </w:rPr>
              <w:t>14 %</w:t>
            </w:r>
          </w:p>
        </w:tc>
        <w:tc>
          <w:tcPr>
            <w:tcW w:w="1108" w:type="dxa"/>
            <w:shd w:val="clear" w:color="auto" w:fill="BFCED6"/>
          </w:tcPr>
          <w:p w14:paraId="639B90B8" w14:textId="29886876" w:rsidR="00AC5C83" w:rsidRPr="00BF031D" w:rsidRDefault="00AC5C83" w:rsidP="00AC5C83">
            <w:pPr>
              <w:jc w:val="center"/>
              <w:rPr>
                <w:rFonts w:ascii="VIC" w:hAnsi="VIC"/>
                <w:sz w:val="18"/>
                <w:szCs w:val="18"/>
              </w:rPr>
            </w:pPr>
            <w:r w:rsidRPr="001E2423">
              <w:rPr>
                <w:rFonts w:ascii="VIC" w:eastAsia="Verdana" w:hAnsi="VIC"/>
                <w:color w:val="000000"/>
                <w:sz w:val="18"/>
                <w:szCs w:val="18"/>
              </w:rPr>
              <w:t>1.5</w:t>
            </w:r>
          </w:p>
        </w:tc>
        <w:tc>
          <w:tcPr>
            <w:tcW w:w="1109" w:type="dxa"/>
            <w:shd w:val="clear" w:color="auto" w:fill="BFCED6"/>
          </w:tcPr>
          <w:p w14:paraId="620BDD63" w14:textId="635743B2" w:rsidR="00AC5C83" w:rsidRPr="00BF031D" w:rsidRDefault="00AC5C83" w:rsidP="00AC5C83">
            <w:pPr>
              <w:jc w:val="center"/>
              <w:rPr>
                <w:rFonts w:ascii="VIC" w:hAnsi="VIC"/>
                <w:sz w:val="18"/>
                <w:szCs w:val="18"/>
              </w:rPr>
            </w:pPr>
            <w:r w:rsidRPr="001E2423">
              <w:rPr>
                <w:rFonts w:ascii="VIC" w:eastAsia="Verdana" w:hAnsi="VIC"/>
                <w:color w:val="000000"/>
                <w:sz w:val="18"/>
                <w:szCs w:val="18"/>
              </w:rPr>
              <w:t>23 %</w:t>
            </w:r>
          </w:p>
        </w:tc>
      </w:tr>
      <w:tr w:rsidR="00AC5C83" w:rsidRPr="00BF031D" w14:paraId="00F9D7BE" w14:textId="77777777" w:rsidTr="0067289E">
        <w:trPr>
          <w:trHeight w:val="454"/>
        </w:trPr>
        <w:tc>
          <w:tcPr>
            <w:tcW w:w="1570" w:type="dxa"/>
            <w:shd w:val="clear" w:color="auto" w:fill="FFFFFF" w:themeFill="background1"/>
          </w:tcPr>
          <w:p w14:paraId="4DC94639" w14:textId="41FB1146" w:rsidR="00AC5C83" w:rsidRPr="000A7F1F"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South West Health</w:t>
            </w:r>
          </w:p>
        </w:tc>
        <w:tc>
          <w:tcPr>
            <w:tcW w:w="1985" w:type="dxa"/>
            <w:shd w:val="clear" w:color="auto" w:fill="FFFFFF" w:themeFill="background1"/>
          </w:tcPr>
          <w:p w14:paraId="3D97E01C" w14:textId="414EA691" w:rsidR="00AC5C83" w:rsidRPr="000A7F1F"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South West Health Care</w:t>
            </w:r>
          </w:p>
        </w:tc>
        <w:tc>
          <w:tcPr>
            <w:tcW w:w="1108" w:type="dxa"/>
            <w:shd w:val="clear" w:color="auto" w:fill="FFFFFF" w:themeFill="background1"/>
          </w:tcPr>
          <w:p w14:paraId="067D5F21" w14:textId="4AD6E98A" w:rsidR="00AC5C83" w:rsidRPr="00BF031D" w:rsidRDefault="00AC5C83" w:rsidP="00AC5C83">
            <w:pPr>
              <w:jc w:val="center"/>
              <w:rPr>
                <w:rFonts w:ascii="VIC" w:hAnsi="VIC"/>
                <w:sz w:val="18"/>
                <w:szCs w:val="18"/>
              </w:rPr>
            </w:pPr>
            <w:r w:rsidRPr="001E2423">
              <w:rPr>
                <w:rFonts w:ascii="VIC" w:eastAsia="Verdana" w:hAnsi="VIC"/>
                <w:color w:val="000000"/>
                <w:sz w:val="18"/>
                <w:szCs w:val="18"/>
              </w:rPr>
              <w:t>100 %</w:t>
            </w:r>
          </w:p>
        </w:tc>
        <w:tc>
          <w:tcPr>
            <w:tcW w:w="1108" w:type="dxa"/>
            <w:shd w:val="clear" w:color="auto" w:fill="FFFFFF" w:themeFill="background1"/>
          </w:tcPr>
          <w:p w14:paraId="12B71702" w14:textId="31ED4376" w:rsidR="00AC5C83" w:rsidRPr="00BF031D" w:rsidRDefault="00AC5C83" w:rsidP="00AC5C83">
            <w:pPr>
              <w:jc w:val="center"/>
              <w:rPr>
                <w:rFonts w:ascii="VIC" w:hAnsi="VIC"/>
                <w:sz w:val="18"/>
                <w:szCs w:val="18"/>
              </w:rPr>
            </w:pPr>
            <w:r w:rsidRPr="001E2423">
              <w:rPr>
                <w:rFonts w:ascii="VIC" w:eastAsia="Verdana" w:hAnsi="VIC"/>
                <w:color w:val="000000"/>
                <w:sz w:val="18"/>
                <w:szCs w:val="18"/>
              </w:rPr>
              <w:t>100 %</w:t>
            </w:r>
          </w:p>
        </w:tc>
        <w:tc>
          <w:tcPr>
            <w:tcW w:w="1108" w:type="dxa"/>
            <w:shd w:val="clear" w:color="auto" w:fill="FFFFFF" w:themeFill="background1"/>
          </w:tcPr>
          <w:p w14:paraId="14FA6D0A" w14:textId="53F4452E" w:rsidR="00AC5C83" w:rsidRPr="00BF031D" w:rsidRDefault="00AC5C83" w:rsidP="00AC5C83">
            <w:pPr>
              <w:jc w:val="center"/>
              <w:rPr>
                <w:rFonts w:ascii="VIC" w:hAnsi="VIC"/>
                <w:sz w:val="18"/>
                <w:szCs w:val="18"/>
              </w:rPr>
            </w:pPr>
            <w:r w:rsidRPr="001E2423">
              <w:rPr>
                <w:rFonts w:ascii="VIC" w:eastAsia="Verdana" w:hAnsi="VIC"/>
                <w:color w:val="000000"/>
                <w:sz w:val="18"/>
                <w:szCs w:val="18"/>
              </w:rPr>
              <w:t>12 %</w:t>
            </w:r>
          </w:p>
        </w:tc>
        <w:tc>
          <w:tcPr>
            <w:tcW w:w="1108" w:type="dxa"/>
            <w:shd w:val="clear" w:color="auto" w:fill="FFFFFF" w:themeFill="background1"/>
          </w:tcPr>
          <w:p w14:paraId="6635CCC8" w14:textId="1F0BC591" w:rsidR="00AC5C83" w:rsidRPr="00BF031D" w:rsidRDefault="00AC5C83" w:rsidP="00AC5C83">
            <w:pPr>
              <w:jc w:val="center"/>
              <w:rPr>
                <w:rFonts w:ascii="VIC" w:hAnsi="VIC"/>
                <w:sz w:val="18"/>
                <w:szCs w:val="18"/>
              </w:rPr>
            </w:pPr>
            <w:r w:rsidRPr="001E2423">
              <w:rPr>
                <w:rFonts w:ascii="VIC" w:eastAsia="Verdana" w:hAnsi="VIC"/>
                <w:color w:val="000000"/>
                <w:sz w:val="18"/>
                <w:szCs w:val="18"/>
              </w:rPr>
              <w:t>357.5</w:t>
            </w:r>
          </w:p>
        </w:tc>
        <w:tc>
          <w:tcPr>
            <w:tcW w:w="1108" w:type="dxa"/>
            <w:shd w:val="clear" w:color="auto" w:fill="FFFFFF" w:themeFill="background1"/>
          </w:tcPr>
          <w:p w14:paraId="38FDFEAE" w14:textId="1F5AC40C" w:rsidR="00AC5C83" w:rsidRPr="00BF031D" w:rsidRDefault="00AC5C83" w:rsidP="00AC5C83">
            <w:pPr>
              <w:jc w:val="center"/>
              <w:rPr>
                <w:rFonts w:ascii="VIC" w:hAnsi="VIC"/>
                <w:sz w:val="18"/>
                <w:szCs w:val="18"/>
              </w:rPr>
            </w:pPr>
            <w:r w:rsidRPr="001E2423">
              <w:rPr>
                <w:rFonts w:ascii="VIC" w:eastAsia="Verdana" w:hAnsi="VIC"/>
                <w:color w:val="000000"/>
                <w:sz w:val="18"/>
                <w:szCs w:val="18"/>
              </w:rPr>
              <w:t>5.1</w:t>
            </w:r>
          </w:p>
        </w:tc>
        <w:tc>
          <w:tcPr>
            <w:tcW w:w="1109" w:type="dxa"/>
            <w:shd w:val="clear" w:color="auto" w:fill="FFFFFF" w:themeFill="background1"/>
          </w:tcPr>
          <w:p w14:paraId="032033E1" w14:textId="7730FD26" w:rsidR="00AC5C83" w:rsidRPr="00BF031D" w:rsidRDefault="00AC5C83" w:rsidP="00AC5C83">
            <w:pPr>
              <w:jc w:val="center"/>
              <w:rPr>
                <w:rFonts w:ascii="VIC" w:hAnsi="VIC"/>
                <w:sz w:val="18"/>
                <w:szCs w:val="18"/>
              </w:rPr>
            </w:pPr>
            <w:r w:rsidRPr="001E2423">
              <w:rPr>
                <w:rFonts w:ascii="VIC" w:eastAsia="Verdana" w:hAnsi="VIC"/>
                <w:color w:val="000000"/>
                <w:sz w:val="18"/>
                <w:szCs w:val="18"/>
              </w:rPr>
              <w:t>77 %</w:t>
            </w:r>
          </w:p>
        </w:tc>
        <w:tc>
          <w:tcPr>
            <w:tcW w:w="1108" w:type="dxa"/>
            <w:shd w:val="clear" w:color="auto" w:fill="FFFFFF" w:themeFill="background1"/>
          </w:tcPr>
          <w:p w14:paraId="0572E9FA" w14:textId="370295D3" w:rsidR="00AC5C83" w:rsidRPr="00BF031D" w:rsidRDefault="00AC5C83" w:rsidP="00AC5C83">
            <w:pPr>
              <w:jc w:val="center"/>
              <w:rPr>
                <w:rFonts w:ascii="VIC" w:hAnsi="VIC"/>
                <w:sz w:val="18"/>
                <w:szCs w:val="18"/>
              </w:rPr>
            </w:pPr>
            <w:r w:rsidRPr="001E2423">
              <w:rPr>
                <w:rFonts w:ascii="VIC" w:eastAsia="Verdana" w:hAnsi="VIC"/>
                <w:color w:val="000000"/>
                <w:sz w:val="18"/>
                <w:szCs w:val="18"/>
              </w:rPr>
              <w:t>15.3</w:t>
            </w:r>
          </w:p>
        </w:tc>
        <w:tc>
          <w:tcPr>
            <w:tcW w:w="1108" w:type="dxa"/>
            <w:shd w:val="clear" w:color="auto" w:fill="FFFFFF" w:themeFill="background1"/>
          </w:tcPr>
          <w:p w14:paraId="2486C7E2" w14:textId="56507D44" w:rsidR="00AC5C83" w:rsidRPr="00BF031D" w:rsidRDefault="00AC5C83" w:rsidP="00AC5C83">
            <w:pPr>
              <w:jc w:val="center"/>
              <w:rPr>
                <w:rFonts w:ascii="VIC" w:hAnsi="VIC"/>
                <w:sz w:val="18"/>
                <w:szCs w:val="18"/>
              </w:rPr>
            </w:pPr>
            <w:r w:rsidRPr="001E2423">
              <w:rPr>
                <w:rFonts w:ascii="VIC" w:eastAsia="Verdana" w:hAnsi="VIC"/>
                <w:color w:val="000000"/>
                <w:sz w:val="18"/>
                <w:szCs w:val="18"/>
              </w:rPr>
              <w:t>63 %</w:t>
            </w:r>
          </w:p>
        </w:tc>
        <w:tc>
          <w:tcPr>
            <w:tcW w:w="1108" w:type="dxa"/>
            <w:shd w:val="clear" w:color="auto" w:fill="FFFFFF" w:themeFill="background1"/>
          </w:tcPr>
          <w:p w14:paraId="61AEEC14" w14:textId="541B1A49" w:rsidR="00AC5C83" w:rsidRPr="00BF031D" w:rsidRDefault="00AC5C83" w:rsidP="00AC5C83">
            <w:pPr>
              <w:jc w:val="center"/>
              <w:rPr>
                <w:rFonts w:ascii="VIC" w:hAnsi="VIC"/>
                <w:sz w:val="18"/>
                <w:szCs w:val="18"/>
              </w:rPr>
            </w:pPr>
            <w:r w:rsidRPr="001E2423">
              <w:rPr>
                <w:rFonts w:ascii="VIC" w:eastAsia="Verdana" w:hAnsi="VIC"/>
                <w:color w:val="000000"/>
                <w:sz w:val="18"/>
                <w:szCs w:val="18"/>
              </w:rPr>
              <w:t>67 %</w:t>
            </w:r>
          </w:p>
        </w:tc>
        <w:tc>
          <w:tcPr>
            <w:tcW w:w="1108" w:type="dxa"/>
            <w:shd w:val="clear" w:color="auto" w:fill="FFFFFF" w:themeFill="background1"/>
          </w:tcPr>
          <w:p w14:paraId="0EA394B2" w14:textId="6DF4D2EB" w:rsidR="00AC5C83" w:rsidRPr="00BF031D" w:rsidRDefault="00AC5C83" w:rsidP="00AC5C83">
            <w:pPr>
              <w:jc w:val="center"/>
              <w:rPr>
                <w:rFonts w:ascii="VIC" w:hAnsi="VIC"/>
                <w:sz w:val="18"/>
                <w:szCs w:val="18"/>
              </w:rPr>
            </w:pPr>
            <w:r w:rsidRPr="001E2423">
              <w:rPr>
                <w:rFonts w:ascii="VIC" w:eastAsia="Verdana" w:hAnsi="VIC"/>
                <w:color w:val="000000"/>
                <w:sz w:val="18"/>
                <w:szCs w:val="18"/>
              </w:rPr>
              <w:t>2.2</w:t>
            </w:r>
          </w:p>
        </w:tc>
        <w:tc>
          <w:tcPr>
            <w:tcW w:w="1109" w:type="dxa"/>
            <w:shd w:val="clear" w:color="auto" w:fill="FFFFFF" w:themeFill="background1"/>
          </w:tcPr>
          <w:p w14:paraId="348C2F28" w14:textId="61A7291A" w:rsidR="00AC5C83" w:rsidRPr="00BF031D" w:rsidRDefault="00AC5C83" w:rsidP="00AC5C83">
            <w:pPr>
              <w:jc w:val="center"/>
              <w:rPr>
                <w:rFonts w:ascii="VIC" w:hAnsi="VIC"/>
                <w:sz w:val="18"/>
                <w:szCs w:val="18"/>
              </w:rPr>
            </w:pPr>
            <w:r w:rsidRPr="001E2423">
              <w:rPr>
                <w:rFonts w:ascii="VIC" w:eastAsia="Verdana" w:hAnsi="VIC"/>
                <w:color w:val="000000"/>
                <w:sz w:val="18"/>
                <w:szCs w:val="18"/>
              </w:rPr>
              <w:t>22 %</w:t>
            </w:r>
          </w:p>
        </w:tc>
      </w:tr>
      <w:tr w:rsidR="00AC5C83" w:rsidRPr="00AC5C83" w14:paraId="3B4D7462" w14:textId="77777777" w:rsidTr="003D0E58">
        <w:trPr>
          <w:trHeight w:val="454"/>
        </w:trPr>
        <w:tc>
          <w:tcPr>
            <w:tcW w:w="1570" w:type="dxa"/>
            <w:shd w:val="clear" w:color="auto" w:fill="B1C9E8"/>
          </w:tcPr>
          <w:p w14:paraId="755F53DE" w14:textId="1BE29579"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TOTAL RURAL</w:t>
            </w:r>
          </w:p>
        </w:tc>
        <w:tc>
          <w:tcPr>
            <w:tcW w:w="1985" w:type="dxa"/>
            <w:shd w:val="clear" w:color="auto" w:fill="B1C9E8"/>
          </w:tcPr>
          <w:p w14:paraId="652171FE" w14:textId="657FBC53"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 xml:space="preserve"> </w:t>
            </w:r>
          </w:p>
        </w:tc>
        <w:tc>
          <w:tcPr>
            <w:tcW w:w="1108" w:type="dxa"/>
            <w:shd w:val="clear" w:color="auto" w:fill="B1C9E8"/>
          </w:tcPr>
          <w:p w14:paraId="4F1F1156" w14:textId="79A7C7EA"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58 %</w:t>
            </w:r>
          </w:p>
        </w:tc>
        <w:tc>
          <w:tcPr>
            <w:tcW w:w="1108" w:type="dxa"/>
            <w:shd w:val="clear" w:color="auto" w:fill="B1C9E8"/>
          </w:tcPr>
          <w:p w14:paraId="75E8F7F1" w14:textId="7710F3E2"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88 %</w:t>
            </w:r>
          </w:p>
        </w:tc>
        <w:tc>
          <w:tcPr>
            <w:tcW w:w="1108" w:type="dxa"/>
            <w:shd w:val="clear" w:color="auto" w:fill="B1C9E8"/>
          </w:tcPr>
          <w:p w14:paraId="057CC161" w14:textId="3A08B2D8"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10 %</w:t>
            </w:r>
          </w:p>
        </w:tc>
        <w:tc>
          <w:tcPr>
            <w:tcW w:w="1108" w:type="dxa"/>
            <w:shd w:val="clear" w:color="auto" w:fill="B1C9E8"/>
          </w:tcPr>
          <w:p w14:paraId="1E135E36" w14:textId="792DF839"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237.7</w:t>
            </w:r>
          </w:p>
        </w:tc>
        <w:tc>
          <w:tcPr>
            <w:tcW w:w="1108" w:type="dxa"/>
            <w:shd w:val="clear" w:color="auto" w:fill="B1C9E8"/>
          </w:tcPr>
          <w:p w14:paraId="68120B64" w14:textId="42834CD2"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4.7</w:t>
            </w:r>
          </w:p>
        </w:tc>
        <w:tc>
          <w:tcPr>
            <w:tcW w:w="1109" w:type="dxa"/>
            <w:shd w:val="clear" w:color="auto" w:fill="B1C9E8"/>
          </w:tcPr>
          <w:p w14:paraId="174BEA00" w14:textId="6BD1EAEA"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65 %</w:t>
            </w:r>
          </w:p>
        </w:tc>
        <w:tc>
          <w:tcPr>
            <w:tcW w:w="1108" w:type="dxa"/>
            <w:shd w:val="clear" w:color="auto" w:fill="B1C9E8"/>
          </w:tcPr>
          <w:p w14:paraId="565CC057" w14:textId="5428616F"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16.3</w:t>
            </w:r>
          </w:p>
        </w:tc>
        <w:tc>
          <w:tcPr>
            <w:tcW w:w="1108" w:type="dxa"/>
            <w:shd w:val="clear" w:color="auto" w:fill="B1C9E8"/>
          </w:tcPr>
          <w:p w14:paraId="3F4BA83E" w14:textId="1987BAA7"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56 %</w:t>
            </w:r>
          </w:p>
        </w:tc>
        <w:tc>
          <w:tcPr>
            <w:tcW w:w="1108" w:type="dxa"/>
            <w:shd w:val="clear" w:color="auto" w:fill="B1C9E8"/>
          </w:tcPr>
          <w:p w14:paraId="548215CF" w14:textId="1B060DEC"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17 %</w:t>
            </w:r>
          </w:p>
        </w:tc>
        <w:tc>
          <w:tcPr>
            <w:tcW w:w="1108" w:type="dxa"/>
            <w:shd w:val="clear" w:color="auto" w:fill="B1C9E8"/>
          </w:tcPr>
          <w:p w14:paraId="1D8B8463" w14:textId="010B440D"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1.6</w:t>
            </w:r>
          </w:p>
        </w:tc>
        <w:tc>
          <w:tcPr>
            <w:tcW w:w="1109" w:type="dxa"/>
            <w:shd w:val="clear" w:color="auto" w:fill="B1C9E8"/>
          </w:tcPr>
          <w:p w14:paraId="0C6289CF" w14:textId="7AEEEA02"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25 %</w:t>
            </w:r>
          </w:p>
        </w:tc>
      </w:tr>
      <w:tr w:rsidR="00AC5C83" w:rsidRPr="00592F37" w14:paraId="18DF74A5" w14:textId="77777777" w:rsidTr="0067289E">
        <w:trPr>
          <w:trHeight w:val="454"/>
        </w:trPr>
        <w:tc>
          <w:tcPr>
            <w:tcW w:w="1570" w:type="dxa"/>
            <w:shd w:val="clear" w:color="auto" w:fill="244C5A"/>
          </w:tcPr>
          <w:p w14:paraId="5A48D4FD" w14:textId="6572B004" w:rsidR="00AC5C83" w:rsidRPr="00592F37" w:rsidRDefault="00AC5C83" w:rsidP="00AC5C83">
            <w:pPr>
              <w:pStyle w:val="DHHStabletext"/>
              <w:spacing w:before="0" w:after="0"/>
              <w:rPr>
                <w:rFonts w:ascii="VIC SemiBold" w:eastAsia="Verdana" w:hAnsi="VIC SemiBold" w:cs="Verdana"/>
                <w:color w:val="FFFFFF" w:themeColor="background1"/>
                <w:sz w:val="18"/>
                <w:szCs w:val="18"/>
              </w:rPr>
            </w:pPr>
            <w:r w:rsidRPr="001E2423">
              <w:rPr>
                <w:rFonts w:ascii="VIC" w:eastAsia="Verdana" w:hAnsi="VIC"/>
                <w:color w:val="FFFFFF"/>
                <w:sz w:val="18"/>
                <w:szCs w:val="18"/>
              </w:rPr>
              <w:t>TOTAL STATEWIDE</w:t>
            </w:r>
          </w:p>
        </w:tc>
        <w:tc>
          <w:tcPr>
            <w:tcW w:w="1985" w:type="dxa"/>
            <w:shd w:val="clear" w:color="auto" w:fill="244C5A"/>
          </w:tcPr>
          <w:p w14:paraId="371FE1D3" w14:textId="1510F77E" w:rsidR="00AC5C83" w:rsidRPr="00592F37" w:rsidRDefault="00AC5C83" w:rsidP="00AC5C83">
            <w:pPr>
              <w:pStyle w:val="DHHStabletext"/>
              <w:spacing w:before="0" w:after="0"/>
              <w:rPr>
                <w:rFonts w:ascii="VIC SemiBold" w:eastAsia="Verdana" w:hAnsi="VIC SemiBold" w:cs="Verdana"/>
                <w:color w:val="FFFFFF" w:themeColor="background1"/>
                <w:sz w:val="18"/>
                <w:szCs w:val="18"/>
              </w:rPr>
            </w:pPr>
            <w:r w:rsidRPr="001E2423">
              <w:rPr>
                <w:rFonts w:ascii="VIC" w:eastAsia="Verdana" w:hAnsi="VIC"/>
                <w:color w:val="FFFFFF"/>
                <w:sz w:val="18"/>
                <w:szCs w:val="18"/>
              </w:rPr>
              <w:t xml:space="preserve"> </w:t>
            </w:r>
          </w:p>
        </w:tc>
        <w:tc>
          <w:tcPr>
            <w:tcW w:w="1108" w:type="dxa"/>
            <w:shd w:val="clear" w:color="auto" w:fill="244C5A"/>
          </w:tcPr>
          <w:p w14:paraId="5D27356A" w14:textId="01CD1CBC"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58 %</w:t>
            </w:r>
          </w:p>
        </w:tc>
        <w:tc>
          <w:tcPr>
            <w:tcW w:w="1108" w:type="dxa"/>
            <w:shd w:val="clear" w:color="auto" w:fill="244C5A"/>
          </w:tcPr>
          <w:p w14:paraId="44391493" w14:textId="435C190E"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90 %</w:t>
            </w:r>
          </w:p>
        </w:tc>
        <w:tc>
          <w:tcPr>
            <w:tcW w:w="1108" w:type="dxa"/>
            <w:shd w:val="clear" w:color="auto" w:fill="244C5A"/>
          </w:tcPr>
          <w:p w14:paraId="1D127759" w14:textId="3193B228"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13 %</w:t>
            </w:r>
          </w:p>
        </w:tc>
        <w:tc>
          <w:tcPr>
            <w:tcW w:w="1108" w:type="dxa"/>
            <w:shd w:val="clear" w:color="auto" w:fill="244C5A"/>
          </w:tcPr>
          <w:p w14:paraId="46F8C97E" w14:textId="0186F225"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228.3</w:t>
            </w:r>
          </w:p>
        </w:tc>
        <w:tc>
          <w:tcPr>
            <w:tcW w:w="1108" w:type="dxa"/>
            <w:shd w:val="clear" w:color="auto" w:fill="244C5A"/>
          </w:tcPr>
          <w:p w14:paraId="3AF8CCF8" w14:textId="0920DFD9"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5.6</w:t>
            </w:r>
          </w:p>
        </w:tc>
        <w:tc>
          <w:tcPr>
            <w:tcW w:w="1109" w:type="dxa"/>
            <w:shd w:val="clear" w:color="auto" w:fill="244C5A"/>
          </w:tcPr>
          <w:p w14:paraId="5CD728E9" w14:textId="01498750"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72 %</w:t>
            </w:r>
          </w:p>
        </w:tc>
        <w:tc>
          <w:tcPr>
            <w:tcW w:w="1108" w:type="dxa"/>
            <w:shd w:val="clear" w:color="auto" w:fill="244C5A"/>
          </w:tcPr>
          <w:p w14:paraId="454966DC" w14:textId="1E60B42F"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16.8</w:t>
            </w:r>
          </w:p>
        </w:tc>
        <w:tc>
          <w:tcPr>
            <w:tcW w:w="1108" w:type="dxa"/>
            <w:shd w:val="clear" w:color="auto" w:fill="244C5A"/>
          </w:tcPr>
          <w:p w14:paraId="2BFBD533" w14:textId="6C41B6A6"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48 %</w:t>
            </w:r>
          </w:p>
        </w:tc>
        <w:tc>
          <w:tcPr>
            <w:tcW w:w="1108" w:type="dxa"/>
            <w:shd w:val="clear" w:color="auto" w:fill="244C5A"/>
          </w:tcPr>
          <w:p w14:paraId="772EBFBE" w14:textId="614FB30B"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15 %</w:t>
            </w:r>
          </w:p>
        </w:tc>
        <w:tc>
          <w:tcPr>
            <w:tcW w:w="1108" w:type="dxa"/>
            <w:shd w:val="clear" w:color="auto" w:fill="244C5A"/>
          </w:tcPr>
          <w:p w14:paraId="577EE165" w14:textId="66AE7BBE"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1.3</w:t>
            </w:r>
          </w:p>
        </w:tc>
        <w:tc>
          <w:tcPr>
            <w:tcW w:w="1109" w:type="dxa"/>
            <w:shd w:val="clear" w:color="auto" w:fill="244C5A"/>
          </w:tcPr>
          <w:p w14:paraId="3999C5D2" w14:textId="528311ED"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26 %</w:t>
            </w:r>
          </w:p>
        </w:tc>
      </w:tr>
    </w:tbl>
    <w:p w14:paraId="22B996AD" w14:textId="77777777" w:rsidR="00C304B4" w:rsidRDefault="00C304B4">
      <w:pPr>
        <w:widowControl/>
        <w:rPr>
          <w:rFonts w:ascii="VIC" w:hAnsi="VIC"/>
        </w:rPr>
      </w:pPr>
    </w:p>
    <w:p w14:paraId="68C8A01E" w14:textId="73A897DB" w:rsidR="00C304B4" w:rsidRDefault="00C304B4">
      <w:pPr>
        <w:widowControl/>
        <w:rPr>
          <w:rFonts w:ascii="VIC" w:hAnsi="VIC"/>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2268"/>
        <w:gridCol w:w="1518"/>
        <w:gridCol w:w="1519"/>
        <w:gridCol w:w="1519"/>
        <w:gridCol w:w="1518"/>
        <w:gridCol w:w="1519"/>
        <w:gridCol w:w="1519"/>
        <w:gridCol w:w="1519"/>
      </w:tblGrid>
      <w:tr w:rsidR="00C304B4" w:rsidRPr="00A6366B" w14:paraId="45431FAC" w14:textId="77777777" w:rsidTr="009D3084">
        <w:trPr>
          <w:trHeight w:val="1062"/>
          <w:tblHeader/>
        </w:trPr>
        <w:tc>
          <w:tcPr>
            <w:tcW w:w="2846" w:type="dxa"/>
            <w:gridSpan w:val="2"/>
            <w:shd w:val="clear" w:color="auto" w:fill="FFFFFF"/>
            <w:vAlign w:val="bottom"/>
          </w:tcPr>
          <w:p w14:paraId="73B39F79" w14:textId="55061A10" w:rsidR="00C304B4" w:rsidRPr="00592F37" w:rsidRDefault="00C304B4" w:rsidP="009D3084">
            <w:pPr>
              <w:pStyle w:val="Heading1"/>
              <w:spacing w:before="0" w:line="240" w:lineRule="auto"/>
              <w:rPr>
                <w:color w:val="244C5A"/>
                <w:sz w:val="28"/>
                <w:szCs w:val="28"/>
              </w:rPr>
            </w:pPr>
            <w:bookmarkStart w:id="7" w:name="_Toc45898290"/>
            <w:r w:rsidRPr="00052DAD">
              <w:rPr>
                <w:color w:val="244C5A"/>
                <w:sz w:val="22"/>
                <w:szCs w:val="28"/>
              </w:rPr>
              <w:t>Inpatient</w:t>
            </w:r>
            <w:r w:rsidRPr="00052DAD">
              <w:rPr>
                <w:color w:val="244C5A"/>
                <w:sz w:val="22"/>
                <w:szCs w:val="28"/>
              </w:rPr>
              <w:br w:type="textWrapping" w:clear="all"/>
            </w:r>
            <w:r>
              <w:rPr>
                <w:color w:val="244C5A"/>
                <w:sz w:val="22"/>
                <w:szCs w:val="28"/>
              </w:rPr>
              <w:t>2019–20 Q1–Q</w:t>
            </w:r>
            <w:r w:rsidR="00AC5C83">
              <w:rPr>
                <w:color w:val="244C5A"/>
                <w:sz w:val="22"/>
                <w:szCs w:val="28"/>
              </w:rPr>
              <w:t>4</w:t>
            </w:r>
            <w:bookmarkEnd w:id="7"/>
          </w:p>
        </w:tc>
        <w:tc>
          <w:tcPr>
            <w:tcW w:w="2268" w:type="dxa"/>
            <w:shd w:val="clear" w:color="auto" w:fill="FFFFFF"/>
          </w:tcPr>
          <w:p w14:paraId="4CF9D978" w14:textId="77777777" w:rsidR="00C304B4" w:rsidRPr="00C41C2E" w:rsidRDefault="00C304B4" w:rsidP="009D3084">
            <w:pPr>
              <w:pStyle w:val="VAHItablecolhead"/>
              <w:jc w:val="left"/>
              <w:rPr>
                <w:sz w:val="16"/>
              </w:rPr>
            </w:pPr>
          </w:p>
        </w:tc>
        <w:tc>
          <w:tcPr>
            <w:tcW w:w="1518" w:type="dxa"/>
            <w:shd w:val="clear" w:color="auto" w:fill="FFFFFF"/>
            <w:vAlign w:val="bottom"/>
          </w:tcPr>
          <w:p w14:paraId="2818BBD1" w14:textId="77777777" w:rsidR="00C304B4" w:rsidRPr="00DB17C1" w:rsidRDefault="00C304B4" w:rsidP="009D3084">
            <w:pPr>
              <w:pStyle w:val="VAHItablecolhead"/>
              <w:rPr>
                <w:rFonts w:eastAsia="Verdana"/>
                <w:color w:val="244C5A"/>
                <w:sz w:val="16"/>
              </w:rPr>
            </w:pPr>
            <w:r w:rsidRPr="00DB17C1">
              <w:rPr>
                <w:sz w:val="16"/>
              </w:rPr>
              <w:t>Beds per 10,000 population (metro)</w:t>
            </w:r>
          </w:p>
        </w:tc>
        <w:tc>
          <w:tcPr>
            <w:tcW w:w="1519" w:type="dxa"/>
            <w:shd w:val="clear" w:color="auto" w:fill="FFFFFF"/>
            <w:vAlign w:val="bottom"/>
          </w:tcPr>
          <w:p w14:paraId="57EA17FE" w14:textId="77777777" w:rsidR="00C304B4" w:rsidRPr="00DB17C1" w:rsidRDefault="00C304B4" w:rsidP="009D3084">
            <w:pPr>
              <w:pStyle w:val="VAHItablecolhead"/>
              <w:rPr>
                <w:rFonts w:eastAsia="Verdana"/>
                <w:color w:val="244C5A"/>
                <w:sz w:val="16"/>
              </w:rPr>
            </w:pPr>
            <w:r w:rsidRPr="00DB17C1">
              <w:rPr>
                <w:sz w:val="16"/>
              </w:rPr>
              <w:t xml:space="preserve">Trimmed average length of stay </w:t>
            </w:r>
            <w:r>
              <w:rPr>
                <w:sz w:val="16"/>
              </w:rPr>
              <w:br w:type="textWrapping" w:clear="all"/>
            </w:r>
            <w:r w:rsidRPr="00DB17C1">
              <w:rPr>
                <w:sz w:val="16"/>
              </w:rPr>
              <w:t>(≤35 days)</w:t>
            </w:r>
          </w:p>
        </w:tc>
        <w:tc>
          <w:tcPr>
            <w:tcW w:w="1519" w:type="dxa"/>
            <w:shd w:val="clear" w:color="auto" w:fill="FFFFFF"/>
            <w:vAlign w:val="bottom"/>
          </w:tcPr>
          <w:p w14:paraId="4AA747A9" w14:textId="77777777" w:rsidR="00C304B4" w:rsidRPr="00DB17C1" w:rsidRDefault="00C304B4" w:rsidP="009D3084">
            <w:pPr>
              <w:pStyle w:val="VAHItablecolhead"/>
              <w:rPr>
                <w:rFonts w:eastAsia="Verdana"/>
                <w:color w:val="244C5A"/>
                <w:sz w:val="16"/>
              </w:rPr>
            </w:pPr>
            <w:r w:rsidRPr="00DB17C1">
              <w:rPr>
                <w:sz w:val="16"/>
              </w:rPr>
              <w:t>Seclusions per 1,000 bed days</w:t>
            </w:r>
          </w:p>
        </w:tc>
        <w:tc>
          <w:tcPr>
            <w:tcW w:w="1518" w:type="dxa"/>
            <w:shd w:val="clear" w:color="auto" w:fill="FFFFFF"/>
            <w:vAlign w:val="bottom"/>
          </w:tcPr>
          <w:p w14:paraId="0E74F6D0" w14:textId="77777777" w:rsidR="00C304B4" w:rsidRPr="00DB17C1" w:rsidRDefault="00C304B4" w:rsidP="009D3084">
            <w:pPr>
              <w:pStyle w:val="VAHItablecolhead"/>
              <w:rPr>
                <w:rFonts w:eastAsia="Verdana"/>
                <w:color w:val="244C5A"/>
                <w:sz w:val="16"/>
              </w:rPr>
            </w:pPr>
            <w:r w:rsidRPr="00DB17C1">
              <w:rPr>
                <w:sz w:val="16"/>
              </w:rPr>
              <w:t xml:space="preserve">Self rated measures </w:t>
            </w:r>
            <w:r>
              <w:rPr>
                <w:sz w:val="16"/>
              </w:rPr>
              <w:br w:type="textWrapping" w:clear="all"/>
            </w:r>
            <w:r w:rsidRPr="00DB17C1">
              <w:rPr>
                <w:sz w:val="16"/>
              </w:rPr>
              <w:t>offered</w:t>
            </w:r>
          </w:p>
        </w:tc>
        <w:tc>
          <w:tcPr>
            <w:tcW w:w="1519" w:type="dxa"/>
            <w:shd w:val="clear" w:color="auto" w:fill="FFFFFF"/>
            <w:vAlign w:val="bottom"/>
          </w:tcPr>
          <w:p w14:paraId="382D49ED" w14:textId="77777777" w:rsidR="00C304B4" w:rsidRPr="00DB17C1" w:rsidRDefault="00C304B4" w:rsidP="009D3084">
            <w:pPr>
              <w:pStyle w:val="VAHItablecolhead"/>
              <w:rPr>
                <w:rFonts w:eastAsia="Verdana"/>
                <w:color w:val="244C5A"/>
                <w:sz w:val="16"/>
              </w:rPr>
            </w:pPr>
            <w:r w:rsidRPr="00DB17C1">
              <w:rPr>
                <w:sz w:val="16"/>
              </w:rPr>
              <w:t>Self rated measures completed</w:t>
            </w:r>
          </w:p>
        </w:tc>
        <w:tc>
          <w:tcPr>
            <w:tcW w:w="1519" w:type="dxa"/>
            <w:shd w:val="clear" w:color="auto" w:fill="FFFFFF"/>
            <w:vAlign w:val="bottom"/>
          </w:tcPr>
          <w:p w14:paraId="3C79E410" w14:textId="77777777" w:rsidR="00C304B4" w:rsidRPr="00DB17C1" w:rsidRDefault="00C304B4" w:rsidP="009D3084">
            <w:pPr>
              <w:pStyle w:val="VAHItablecolhead"/>
              <w:rPr>
                <w:rFonts w:eastAsia="Verdana"/>
                <w:color w:val="244C5A"/>
                <w:sz w:val="16"/>
              </w:rPr>
            </w:pPr>
            <w:r w:rsidRPr="00DB17C1">
              <w:rPr>
                <w:sz w:val="16"/>
              </w:rPr>
              <w:t xml:space="preserve">HoNOS </w:t>
            </w:r>
            <w:r>
              <w:rPr>
                <w:sz w:val="16"/>
              </w:rPr>
              <w:br w:type="textWrapping" w:clear="all"/>
            </w:r>
            <w:r w:rsidRPr="00DB17C1">
              <w:rPr>
                <w:sz w:val="16"/>
              </w:rPr>
              <w:t>compliance</w:t>
            </w:r>
          </w:p>
        </w:tc>
        <w:tc>
          <w:tcPr>
            <w:tcW w:w="1519" w:type="dxa"/>
            <w:shd w:val="clear" w:color="auto" w:fill="FFFFFF"/>
            <w:vAlign w:val="bottom"/>
          </w:tcPr>
          <w:p w14:paraId="2B2F00EC" w14:textId="77777777" w:rsidR="00C304B4" w:rsidRPr="00DB17C1" w:rsidRDefault="00C304B4" w:rsidP="009D3084">
            <w:pPr>
              <w:pStyle w:val="VAHItablecolhead"/>
              <w:rPr>
                <w:rFonts w:eastAsia="Verdana"/>
                <w:color w:val="244C5A"/>
                <w:sz w:val="16"/>
              </w:rPr>
            </w:pPr>
            <w:r w:rsidRPr="00DB17C1">
              <w:rPr>
                <w:sz w:val="16"/>
              </w:rPr>
              <w:t>Average HoNOS at episode start</w:t>
            </w:r>
          </w:p>
        </w:tc>
      </w:tr>
      <w:tr w:rsidR="00AC5C83" w:rsidRPr="00BF031D" w14:paraId="125CC34C" w14:textId="77777777" w:rsidTr="009D3084">
        <w:trPr>
          <w:trHeight w:val="454"/>
        </w:trPr>
        <w:tc>
          <w:tcPr>
            <w:tcW w:w="1145" w:type="dxa"/>
            <w:vMerge w:val="restart"/>
            <w:shd w:val="clear" w:color="auto" w:fill="BFCED6"/>
          </w:tcPr>
          <w:p w14:paraId="3B22DD54" w14:textId="6121E531"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Adolescent Units</w:t>
            </w:r>
          </w:p>
        </w:tc>
        <w:tc>
          <w:tcPr>
            <w:tcW w:w="1701" w:type="dxa"/>
            <w:shd w:val="clear" w:color="auto" w:fill="BFCED6"/>
          </w:tcPr>
          <w:p w14:paraId="4391C32C" w14:textId="16663421"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Austin Health</w:t>
            </w:r>
          </w:p>
        </w:tc>
        <w:tc>
          <w:tcPr>
            <w:tcW w:w="2268" w:type="dxa"/>
            <w:shd w:val="clear" w:color="auto" w:fill="BFCED6"/>
          </w:tcPr>
          <w:p w14:paraId="49F938CA" w14:textId="69F83A3D" w:rsidR="00AC5C83" w:rsidRPr="00BF031D" w:rsidRDefault="00AC5C83" w:rsidP="00AC5C83">
            <w:pPr>
              <w:rPr>
                <w:rFonts w:ascii="VIC" w:hAnsi="VIC"/>
                <w:sz w:val="18"/>
                <w:szCs w:val="18"/>
              </w:rPr>
            </w:pPr>
            <w:r w:rsidRPr="001E2423">
              <w:rPr>
                <w:rFonts w:ascii="VIC" w:eastAsia="Verdana" w:hAnsi="VIC"/>
                <w:color w:val="000000"/>
                <w:sz w:val="18"/>
                <w:szCs w:val="18"/>
              </w:rPr>
              <w:t>North East (Austin)</w:t>
            </w:r>
          </w:p>
        </w:tc>
        <w:tc>
          <w:tcPr>
            <w:tcW w:w="1518" w:type="dxa"/>
            <w:shd w:val="clear" w:color="auto" w:fill="BFCED6"/>
          </w:tcPr>
          <w:p w14:paraId="790473FF" w14:textId="76B430C9" w:rsidR="00AC5C83" w:rsidRPr="00BF031D" w:rsidRDefault="00AC5C83" w:rsidP="00AC5C83">
            <w:pPr>
              <w:jc w:val="center"/>
              <w:rPr>
                <w:rFonts w:ascii="VIC" w:hAnsi="VIC"/>
                <w:sz w:val="18"/>
                <w:szCs w:val="18"/>
              </w:rPr>
            </w:pPr>
            <w:r w:rsidRPr="001E2423">
              <w:rPr>
                <w:rFonts w:ascii="VIC" w:eastAsia="Verdana" w:hAnsi="VIC"/>
                <w:color w:val="000000"/>
                <w:sz w:val="18"/>
                <w:szCs w:val="18"/>
              </w:rPr>
              <w:t>2.3</w:t>
            </w:r>
          </w:p>
        </w:tc>
        <w:tc>
          <w:tcPr>
            <w:tcW w:w="1519" w:type="dxa"/>
            <w:shd w:val="clear" w:color="auto" w:fill="BFCED6"/>
          </w:tcPr>
          <w:p w14:paraId="3AE2FCF1" w14:textId="67B6F852" w:rsidR="00AC5C83" w:rsidRPr="00BF031D" w:rsidRDefault="00AC5C83" w:rsidP="00AC5C83">
            <w:pPr>
              <w:jc w:val="center"/>
              <w:rPr>
                <w:rFonts w:ascii="VIC" w:hAnsi="VIC"/>
                <w:sz w:val="18"/>
                <w:szCs w:val="18"/>
              </w:rPr>
            </w:pPr>
            <w:r w:rsidRPr="001E2423">
              <w:rPr>
                <w:rFonts w:ascii="VIC" w:eastAsia="Verdana" w:hAnsi="VIC"/>
                <w:color w:val="000000"/>
                <w:sz w:val="18"/>
                <w:szCs w:val="18"/>
              </w:rPr>
              <w:t>9.1</w:t>
            </w:r>
          </w:p>
        </w:tc>
        <w:tc>
          <w:tcPr>
            <w:tcW w:w="1519" w:type="dxa"/>
            <w:shd w:val="clear" w:color="auto" w:fill="BFCED6"/>
          </w:tcPr>
          <w:p w14:paraId="310E7468" w14:textId="3AE5D967" w:rsidR="00AC5C83" w:rsidRPr="00BF031D" w:rsidRDefault="00AC5C83" w:rsidP="00AC5C83">
            <w:pPr>
              <w:jc w:val="center"/>
              <w:rPr>
                <w:rFonts w:ascii="VIC" w:hAnsi="VIC"/>
                <w:sz w:val="18"/>
                <w:szCs w:val="18"/>
              </w:rPr>
            </w:pPr>
            <w:r w:rsidRPr="001E2423">
              <w:rPr>
                <w:rFonts w:ascii="VIC" w:eastAsia="Verdana" w:hAnsi="VIC"/>
                <w:color w:val="000000"/>
                <w:sz w:val="18"/>
                <w:szCs w:val="18"/>
              </w:rPr>
              <w:t>19.6</w:t>
            </w:r>
          </w:p>
        </w:tc>
        <w:tc>
          <w:tcPr>
            <w:tcW w:w="1518" w:type="dxa"/>
            <w:shd w:val="clear" w:color="auto" w:fill="BFCED6"/>
          </w:tcPr>
          <w:p w14:paraId="12947EDE" w14:textId="7B44B9A6" w:rsidR="00AC5C83" w:rsidRPr="00BF031D" w:rsidRDefault="00AC5C83" w:rsidP="00AC5C83">
            <w:pPr>
              <w:jc w:val="center"/>
              <w:rPr>
                <w:rFonts w:ascii="VIC" w:hAnsi="VIC"/>
                <w:sz w:val="18"/>
                <w:szCs w:val="18"/>
              </w:rPr>
            </w:pPr>
            <w:r w:rsidRPr="001E2423">
              <w:rPr>
                <w:rFonts w:ascii="VIC" w:eastAsia="Verdana" w:hAnsi="VIC"/>
                <w:color w:val="000000"/>
                <w:sz w:val="18"/>
                <w:szCs w:val="18"/>
              </w:rPr>
              <w:t>74 %</w:t>
            </w:r>
          </w:p>
        </w:tc>
        <w:tc>
          <w:tcPr>
            <w:tcW w:w="1519" w:type="dxa"/>
            <w:shd w:val="clear" w:color="auto" w:fill="BFCED6"/>
          </w:tcPr>
          <w:p w14:paraId="65D3D041" w14:textId="2328B3ED" w:rsidR="00AC5C83" w:rsidRPr="00BF031D" w:rsidRDefault="00AC5C83" w:rsidP="00AC5C83">
            <w:pPr>
              <w:jc w:val="center"/>
              <w:rPr>
                <w:rFonts w:ascii="VIC" w:hAnsi="VIC"/>
                <w:sz w:val="18"/>
                <w:szCs w:val="18"/>
              </w:rPr>
            </w:pPr>
            <w:r w:rsidRPr="001E2423">
              <w:rPr>
                <w:rFonts w:ascii="VIC" w:eastAsia="Verdana" w:hAnsi="VIC"/>
                <w:color w:val="000000"/>
                <w:sz w:val="18"/>
                <w:szCs w:val="18"/>
              </w:rPr>
              <w:t>73 %</w:t>
            </w:r>
          </w:p>
        </w:tc>
        <w:tc>
          <w:tcPr>
            <w:tcW w:w="1519" w:type="dxa"/>
            <w:shd w:val="clear" w:color="auto" w:fill="BFCED6"/>
          </w:tcPr>
          <w:p w14:paraId="09E94401" w14:textId="589037B4" w:rsidR="00AC5C83" w:rsidRPr="00BF031D" w:rsidRDefault="00AC5C83" w:rsidP="00AC5C83">
            <w:pPr>
              <w:jc w:val="center"/>
              <w:rPr>
                <w:rFonts w:ascii="VIC" w:hAnsi="VIC"/>
                <w:sz w:val="18"/>
                <w:szCs w:val="18"/>
              </w:rPr>
            </w:pPr>
            <w:r w:rsidRPr="001E2423">
              <w:rPr>
                <w:rFonts w:ascii="VIC" w:eastAsia="Verdana" w:hAnsi="VIC"/>
                <w:color w:val="000000"/>
                <w:sz w:val="18"/>
                <w:szCs w:val="18"/>
              </w:rPr>
              <w:t>89 %</w:t>
            </w:r>
          </w:p>
        </w:tc>
        <w:tc>
          <w:tcPr>
            <w:tcW w:w="1519" w:type="dxa"/>
            <w:shd w:val="clear" w:color="auto" w:fill="BFCED6"/>
          </w:tcPr>
          <w:p w14:paraId="54E28D8A" w14:textId="6BF207E6" w:rsidR="00AC5C83" w:rsidRPr="00BF031D" w:rsidRDefault="00AC5C83" w:rsidP="00AC5C83">
            <w:pPr>
              <w:jc w:val="center"/>
              <w:rPr>
                <w:rFonts w:ascii="VIC" w:hAnsi="VIC"/>
                <w:sz w:val="18"/>
                <w:szCs w:val="18"/>
              </w:rPr>
            </w:pPr>
            <w:r w:rsidRPr="001E2423">
              <w:rPr>
                <w:rFonts w:ascii="VIC" w:eastAsia="Verdana" w:hAnsi="VIC"/>
                <w:color w:val="000000"/>
                <w:sz w:val="18"/>
                <w:szCs w:val="18"/>
              </w:rPr>
              <w:t>19.5</w:t>
            </w:r>
          </w:p>
        </w:tc>
      </w:tr>
      <w:tr w:rsidR="00AC5C83" w:rsidRPr="00BF031D" w14:paraId="187531DD" w14:textId="77777777" w:rsidTr="009D3084">
        <w:trPr>
          <w:trHeight w:val="454"/>
        </w:trPr>
        <w:tc>
          <w:tcPr>
            <w:tcW w:w="1145" w:type="dxa"/>
            <w:vMerge/>
            <w:shd w:val="clear" w:color="auto" w:fill="auto"/>
          </w:tcPr>
          <w:p w14:paraId="0BBCFE20" w14:textId="77777777" w:rsidR="00AC5C83" w:rsidRPr="00BF031D" w:rsidRDefault="00AC5C83" w:rsidP="00AC5C83">
            <w:pPr>
              <w:pStyle w:val="DHHStabletext"/>
              <w:spacing w:before="0" w:after="0"/>
              <w:rPr>
                <w:rFonts w:ascii="VIC" w:eastAsia="Verdana" w:hAnsi="VIC" w:cs="Verdana"/>
                <w:sz w:val="18"/>
                <w:szCs w:val="18"/>
              </w:rPr>
            </w:pPr>
          </w:p>
        </w:tc>
        <w:tc>
          <w:tcPr>
            <w:tcW w:w="1701" w:type="dxa"/>
            <w:shd w:val="clear" w:color="auto" w:fill="auto"/>
          </w:tcPr>
          <w:p w14:paraId="6C6DB7FC" w14:textId="2C340D0A"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Eastern Health</w:t>
            </w:r>
          </w:p>
        </w:tc>
        <w:tc>
          <w:tcPr>
            <w:tcW w:w="2268" w:type="dxa"/>
          </w:tcPr>
          <w:p w14:paraId="48383EC0" w14:textId="6655D9E0" w:rsidR="00AC5C83" w:rsidRPr="00BF031D" w:rsidRDefault="00AC5C83" w:rsidP="00AC5C83">
            <w:pPr>
              <w:rPr>
                <w:rFonts w:ascii="VIC" w:hAnsi="VIC"/>
                <w:sz w:val="18"/>
                <w:szCs w:val="18"/>
              </w:rPr>
            </w:pPr>
            <w:r w:rsidRPr="001E2423">
              <w:rPr>
                <w:rFonts w:ascii="VIC" w:eastAsia="Verdana" w:hAnsi="VIC"/>
                <w:color w:val="000000"/>
                <w:sz w:val="18"/>
                <w:szCs w:val="18"/>
              </w:rPr>
              <w:t>Eastern CYMHS</w:t>
            </w:r>
          </w:p>
        </w:tc>
        <w:tc>
          <w:tcPr>
            <w:tcW w:w="1518" w:type="dxa"/>
            <w:shd w:val="clear" w:color="auto" w:fill="auto"/>
          </w:tcPr>
          <w:p w14:paraId="30CC1D7F" w14:textId="057535D9" w:rsidR="00AC5C83" w:rsidRPr="00BF031D" w:rsidRDefault="00AC5C83" w:rsidP="00AC5C83">
            <w:pPr>
              <w:jc w:val="center"/>
              <w:rPr>
                <w:rFonts w:ascii="VIC" w:hAnsi="VIC"/>
                <w:sz w:val="18"/>
                <w:szCs w:val="18"/>
              </w:rPr>
            </w:pPr>
            <w:r w:rsidRPr="001E2423">
              <w:rPr>
                <w:rFonts w:ascii="VIC" w:eastAsia="Verdana" w:hAnsi="VIC"/>
                <w:color w:val="000000"/>
                <w:sz w:val="18"/>
                <w:szCs w:val="18"/>
              </w:rPr>
              <w:t>2.3</w:t>
            </w:r>
          </w:p>
        </w:tc>
        <w:tc>
          <w:tcPr>
            <w:tcW w:w="1519" w:type="dxa"/>
            <w:shd w:val="clear" w:color="auto" w:fill="auto"/>
          </w:tcPr>
          <w:p w14:paraId="2194717F" w14:textId="0CD27F50" w:rsidR="00AC5C83" w:rsidRPr="00BF031D" w:rsidRDefault="00AC5C83" w:rsidP="00AC5C83">
            <w:pPr>
              <w:jc w:val="center"/>
              <w:rPr>
                <w:rFonts w:ascii="VIC" w:hAnsi="VIC"/>
                <w:sz w:val="18"/>
                <w:szCs w:val="18"/>
              </w:rPr>
            </w:pPr>
            <w:r w:rsidRPr="001E2423">
              <w:rPr>
                <w:rFonts w:ascii="VIC" w:eastAsia="Verdana" w:hAnsi="VIC"/>
                <w:color w:val="000000"/>
                <w:sz w:val="18"/>
                <w:szCs w:val="18"/>
              </w:rPr>
              <w:t>3.9</w:t>
            </w:r>
          </w:p>
        </w:tc>
        <w:tc>
          <w:tcPr>
            <w:tcW w:w="1519" w:type="dxa"/>
            <w:shd w:val="clear" w:color="auto" w:fill="auto"/>
          </w:tcPr>
          <w:p w14:paraId="56D2DF3D" w14:textId="5AB77EF9" w:rsidR="00AC5C83" w:rsidRPr="00BF031D" w:rsidRDefault="00AC5C83" w:rsidP="00AC5C83">
            <w:pPr>
              <w:jc w:val="center"/>
              <w:rPr>
                <w:rFonts w:ascii="VIC" w:hAnsi="VIC"/>
                <w:sz w:val="18"/>
                <w:szCs w:val="18"/>
              </w:rPr>
            </w:pPr>
            <w:r w:rsidRPr="001E2423">
              <w:rPr>
                <w:rFonts w:ascii="VIC" w:eastAsia="Verdana" w:hAnsi="VIC"/>
                <w:color w:val="000000"/>
                <w:sz w:val="18"/>
                <w:szCs w:val="18"/>
              </w:rPr>
              <w:t>17.6</w:t>
            </w:r>
          </w:p>
        </w:tc>
        <w:tc>
          <w:tcPr>
            <w:tcW w:w="1518" w:type="dxa"/>
            <w:shd w:val="clear" w:color="auto" w:fill="auto"/>
          </w:tcPr>
          <w:p w14:paraId="72CB19A6" w14:textId="2215C2C1" w:rsidR="00AC5C83" w:rsidRPr="00BF031D" w:rsidRDefault="00AC5C83" w:rsidP="00AC5C83">
            <w:pPr>
              <w:jc w:val="center"/>
              <w:rPr>
                <w:rFonts w:ascii="VIC" w:hAnsi="VIC"/>
                <w:sz w:val="18"/>
                <w:szCs w:val="18"/>
              </w:rPr>
            </w:pPr>
            <w:r w:rsidRPr="001E2423">
              <w:rPr>
                <w:rFonts w:ascii="VIC" w:eastAsia="Verdana" w:hAnsi="VIC"/>
                <w:color w:val="000000"/>
                <w:sz w:val="18"/>
                <w:szCs w:val="18"/>
              </w:rPr>
              <w:t>78 %</w:t>
            </w:r>
          </w:p>
        </w:tc>
        <w:tc>
          <w:tcPr>
            <w:tcW w:w="1519" w:type="dxa"/>
            <w:shd w:val="clear" w:color="auto" w:fill="auto"/>
          </w:tcPr>
          <w:p w14:paraId="74A3E41F" w14:textId="38E09F61" w:rsidR="00AC5C83" w:rsidRPr="00BF031D" w:rsidRDefault="00AC5C83" w:rsidP="00AC5C83">
            <w:pPr>
              <w:jc w:val="center"/>
              <w:rPr>
                <w:rFonts w:ascii="VIC" w:hAnsi="VIC"/>
                <w:sz w:val="18"/>
                <w:szCs w:val="18"/>
              </w:rPr>
            </w:pPr>
            <w:r w:rsidRPr="001E2423">
              <w:rPr>
                <w:rFonts w:ascii="VIC" w:eastAsia="Verdana" w:hAnsi="VIC"/>
                <w:color w:val="000000"/>
                <w:sz w:val="18"/>
                <w:szCs w:val="18"/>
              </w:rPr>
              <w:t>50 %</w:t>
            </w:r>
          </w:p>
        </w:tc>
        <w:tc>
          <w:tcPr>
            <w:tcW w:w="1519" w:type="dxa"/>
            <w:shd w:val="clear" w:color="auto" w:fill="auto"/>
          </w:tcPr>
          <w:p w14:paraId="4E736BFA" w14:textId="24B97053" w:rsidR="00AC5C83" w:rsidRPr="00BF031D" w:rsidRDefault="00AC5C83" w:rsidP="00AC5C83">
            <w:pPr>
              <w:jc w:val="center"/>
              <w:rPr>
                <w:rFonts w:ascii="VIC" w:hAnsi="VIC"/>
                <w:sz w:val="18"/>
                <w:szCs w:val="18"/>
              </w:rPr>
            </w:pPr>
            <w:r w:rsidRPr="001E2423">
              <w:rPr>
                <w:rFonts w:ascii="VIC" w:eastAsia="Verdana" w:hAnsi="VIC"/>
                <w:color w:val="000000"/>
                <w:sz w:val="18"/>
                <w:szCs w:val="18"/>
              </w:rPr>
              <w:t>93 %</w:t>
            </w:r>
          </w:p>
        </w:tc>
        <w:tc>
          <w:tcPr>
            <w:tcW w:w="1519" w:type="dxa"/>
            <w:shd w:val="clear" w:color="auto" w:fill="auto"/>
          </w:tcPr>
          <w:p w14:paraId="3D023342" w14:textId="00A400E8" w:rsidR="00AC5C83" w:rsidRPr="00BF031D" w:rsidRDefault="00AC5C83" w:rsidP="00AC5C83">
            <w:pPr>
              <w:jc w:val="center"/>
              <w:rPr>
                <w:rFonts w:ascii="VIC" w:hAnsi="VIC"/>
                <w:sz w:val="18"/>
                <w:szCs w:val="18"/>
              </w:rPr>
            </w:pPr>
            <w:r w:rsidRPr="001E2423">
              <w:rPr>
                <w:rFonts w:ascii="VIC" w:eastAsia="Verdana" w:hAnsi="VIC"/>
                <w:color w:val="000000"/>
                <w:sz w:val="18"/>
                <w:szCs w:val="18"/>
              </w:rPr>
              <w:t>18.3</w:t>
            </w:r>
          </w:p>
        </w:tc>
      </w:tr>
      <w:tr w:rsidR="00AC5C83" w:rsidRPr="00BF031D" w14:paraId="7565064B" w14:textId="77777777" w:rsidTr="009D3084">
        <w:trPr>
          <w:trHeight w:val="454"/>
        </w:trPr>
        <w:tc>
          <w:tcPr>
            <w:tcW w:w="1145" w:type="dxa"/>
            <w:vMerge/>
            <w:shd w:val="clear" w:color="auto" w:fill="auto"/>
          </w:tcPr>
          <w:p w14:paraId="63069851" w14:textId="77777777" w:rsidR="00AC5C83" w:rsidRPr="00BF031D" w:rsidRDefault="00AC5C83" w:rsidP="00AC5C83">
            <w:pPr>
              <w:pStyle w:val="DHHStabletext"/>
              <w:spacing w:before="0" w:after="0"/>
              <w:rPr>
                <w:rFonts w:ascii="VIC" w:eastAsia="Verdana" w:hAnsi="VIC" w:cs="Verdana"/>
                <w:sz w:val="18"/>
                <w:szCs w:val="18"/>
              </w:rPr>
            </w:pPr>
          </w:p>
        </w:tc>
        <w:tc>
          <w:tcPr>
            <w:tcW w:w="1701" w:type="dxa"/>
            <w:shd w:val="clear" w:color="auto" w:fill="BFCED6"/>
          </w:tcPr>
          <w:p w14:paraId="0F0E3BA3" w14:textId="1D574DD3"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Monash Health</w:t>
            </w:r>
          </w:p>
        </w:tc>
        <w:tc>
          <w:tcPr>
            <w:tcW w:w="2268" w:type="dxa"/>
            <w:shd w:val="clear" w:color="auto" w:fill="BFCED6"/>
          </w:tcPr>
          <w:p w14:paraId="30129862" w14:textId="7E1F59B4" w:rsidR="00AC5C83" w:rsidRPr="00BF031D" w:rsidRDefault="00AC5C83" w:rsidP="00AC5C83">
            <w:pPr>
              <w:rPr>
                <w:rFonts w:ascii="VIC" w:hAnsi="VIC"/>
                <w:sz w:val="18"/>
                <w:szCs w:val="18"/>
              </w:rPr>
            </w:pPr>
            <w:r w:rsidRPr="001E2423">
              <w:rPr>
                <w:rFonts w:ascii="VIC" w:eastAsia="Verdana" w:hAnsi="VIC"/>
                <w:color w:val="000000"/>
                <w:sz w:val="18"/>
                <w:szCs w:val="18"/>
              </w:rPr>
              <w:t>South Eastern (Monash CAMHS)</w:t>
            </w:r>
          </w:p>
        </w:tc>
        <w:tc>
          <w:tcPr>
            <w:tcW w:w="1518" w:type="dxa"/>
            <w:shd w:val="clear" w:color="auto" w:fill="BFCED6"/>
          </w:tcPr>
          <w:p w14:paraId="546CBBF8" w14:textId="7BE7F868" w:rsidR="00AC5C83" w:rsidRPr="00BF031D" w:rsidRDefault="00AC5C83" w:rsidP="00AC5C83">
            <w:pPr>
              <w:jc w:val="center"/>
              <w:rPr>
                <w:rFonts w:ascii="VIC" w:hAnsi="VIC"/>
                <w:sz w:val="18"/>
                <w:szCs w:val="18"/>
              </w:rPr>
            </w:pPr>
            <w:r w:rsidRPr="001E2423">
              <w:rPr>
                <w:rFonts w:ascii="VIC" w:eastAsia="Verdana" w:hAnsi="VIC"/>
                <w:color w:val="000000"/>
                <w:sz w:val="18"/>
                <w:szCs w:val="18"/>
              </w:rPr>
              <w:t>1.6</w:t>
            </w:r>
          </w:p>
        </w:tc>
        <w:tc>
          <w:tcPr>
            <w:tcW w:w="1519" w:type="dxa"/>
            <w:shd w:val="clear" w:color="auto" w:fill="BFCED6"/>
          </w:tcPr>
          <w:p w14:paraId="6A740729" w14:textId="435A2BFC" w:rsidR="00AC5C83" w:rsidRPr="00BF031D" w:rsidRDefault="00AC5C83" w:rsidP="00AC5C83">
            <w:pPr>
              <w:jc w:val="center"/>
              <w:rPr>
                <w:rFonts w:ascii="VIC" w:hAnsi="VIC"/>
                <w:sz w:val="18"/>
                <w:szCs w:val="18"/>
              </w:rPr>
            </w:pPr>
            <w:r w:rsidRPr="001E2423">
              <w:rPr>
                <w:rFonts w:ascii="VIC" w:eastAsia="Verdana" w:hAnsi="VIC"/>
                <w:color w:val="000000"/>
                <w:sz w:val="18"/>
                <w:szCs w:val="18"/>
              </w:rPr>
              <w:t>6.9</w:t>
            </w:r>
          </w:p>
        </w:tc>
        <w:tc>
          <w:tcPr>
            <w:tcW w:w="1519" w:type="dxa"/>
            <w:shd w:val="clear" w:color="auto" w:fill="BFCED6"/>
          </w:tcPr>
          <w:p w14:paraId="0043A995" w14:textId="080F96E0" w:rsidR="00AC5C83" w:rsidRPr="00BF031D" w:rsidRDefault="00AC5C83" w:rsidP="00AC5C83">
            <w:pPr>
              <w:jc w:val="center"/>
              <w:rPr>
                <w:rFonts w:ascii="VIC" w:hAnsi="VIC"/>
                <w:sz w:val="18"/>
                <w:szCs w:val="18"/>
              </w:rPr>
            </w:pPr>
            <w:r w:rsidRPr="001E2423">
              <w:rPr>
                <w:rFonts w:ascii="VIC" w:eastAsia="Verdana" w:hAnsi="VIC"/>
                <w:color w:val="000000"/>
                <w:sz w:val="18"/>
                <w:szCs w:val="18"/>
              </w:rPr>
              <w:t>17.0</w:t>
            </w:r>
          </w:p>
        </w:tc>
        <w:tc>
          <w:tcPr>
            <w:tcW w:w="1518" w:type="dxa"/>
            <w:shd w:val="clear" w:color="auto" w:fill="BFCED6"/>
          </w:tcPr>
          <w:p w14:paraId="3ECD6C01" w14:textId="1731CC57" w:rsidR="00AC5C83" w:rsidRPr="00BF031D" w:rsidRDefault="00AC5C83" w:rsidP="00AC5C83">
            <w:pPr>
              <w:jc w:val="center"/>
              <w:rPr>
                <w:rFonts w:ascii="VIC" w:hAnsi="VIC"/>
                <w:sz w:val="18"/>
                <w:szCs w:val="18"/>
              </w:rPr>
            </w:pPr>
            <w:r w:rsidRPr="001E2423">
              <w:rPr>
                <w:rFonts w:ascii="VIC" w:eastAsia="Verdana" w:hAnsi="VIC"/>
                <w:color w:val="000000"/>
                <w:sz w:val="18"/>
                <w:szCs w:val="18"/>
              </w:rPr>
              <w:t>36 %</w:t>
            </w:r>
          </w:p>
        </w:tc>
        <w:tc>
          <w:tcPr>
            <w:tcW w:w="1519" w:type="dxa"/>
            <w:shd w:val="clear" w:color="auto" w:fill="BFCED6"/>
          </w:tcPr>
          <w:p w14:paraId="69B54904" w14:textId="72245832" w:rsidR="00AC5C83" w:rsidRPr="00BF031D" w:rsidRDefault="00AC5C83" w:rsidP="00AC5C83">
            <w:pPr>
              <w:jc w:val="center"/>
              <w:rPr>
                <w:rFonts w:ascii="VIC" w:hAnsi="VIC"/>
                <w:sz w:val="18"/>
                <w:szCs w:val="18"/>
              </w:rPr>
            </w:pPr>
            <w:r w:rsidRPr="001E2423">
              <w:rPr>
                <w:rFonts w:ascii="VIC" w:eastAsia="Verdana" w:hAnsi="VIC"/>
                <w:color w:val="000000"/>
                <w:sz w:val="18"/>
                <w:szCs w:val="18"/>
              </w:rPr>
              <w:t>36 %</w:t>
            </w:r>
          </w:p>
        </w:tc>
        <w:tc>
          <w:tcPr>
            <w:tcW w:w="1519" w:type="dxa"/>
            <w:shd w:val="clear" w:color="auto" w:fill="BFCED6"/>
          </w:tcPr>
          <w:p w14:paraId="6ABF00D5" w14:textId="1709CE2D" w:rsidR="00AC5C83" w:rsidRPr="00BF031D" w:rsidRDefault="00AC5C83" w:rsidP="00AC5C83">
            <w:pPr>
              <w:jc w:val="center"/>
              <w:rPr>
                <w:rFonts w:ascii="VIC" w:hAnsi="VIC"/>
                <w:sz w:val="18"/>
                <w:szCs w:val="18"/>
              </w:rPr>
            </w:pPr>
            <w:r w:rsidRPr="001E2423">
              <w:rPr>
                <w:rFonts w:ascii="VIC" w:eastAsia="Verdana" w:hAnsi="VIC"/>
                <w:color w:val="000000"/>
                <w:sz w:val="18"/>
                <w:szCs w:val="18"/>
              </w:rPr>
              <w:t>97 %</w:t>
            </w:r>
          </w:p>
        </w:tc>
        <w:tc>
          <w:tcPr>
            <w:tcW w:w="1519" w:type="dxa"/>
            <w:shd w:val="clear" w:color="auto" w:fill="BFCED6"/>
          </w:tcPr>
          <w:p w14:paraId="3C8FD82D" w14:textId="5A103838" w:rsidR="00AC5C83" w:rsidRPr="00BF031D" w:rsidRDefault="00AC5C83" w:rsidP="00AC5C83">
            <w:pPr>
              <w:jc w:val="center"/>
              <w:rPr>
                <w:rFonts w:ascii="VIC" w:hAnsi="VIC"/>
                <w:sz w:val="18"/>
                <w:szCs w:val="18"/>
              </w:rPr>
            </w:pPr>
            <w:r w:rsidRPr="001E2423">
              <w:rPr>
                <w:rFonts w:ascii="VIC" w:eastAsia="Verdana" w:hAnsi="VIC"/>
                <w:color w:val="000000"/>
                <w:sz w:val="18"/>
                <w:szCs w:val="18"/>
              </w:rPr>
              <w:t>19.8</w:t>
            </w:r>
          </w:p>
        </w:tc>
      </w:tr>
      <w:tr w:rsidR="00AC5C83" w:rsidRPr="00BF031D" w14:paraId="6B8075B7" w14:textId="77777777" w:rsidTr="009D3084">
        <w:trPr>
          <w:trHeight w:val="454"/>
        </w:trPr>
        <w:tc>
          <w:tcPr>
            <w:tcW w:w="1145" w:type="dxa"/>
            <w:vMerge/>
            <w:shd w:val="clear" w:color="auto" w:fill="auto"/>
          </w:tcPr>
          <w:p w14:paraId="3FAF642E" w14:textId="77777777" w:rsidR="00AC5C83" w:rsidRPr="00BF031D" w:rsidRDefault="00AC5C83" w:rsidP="00AC5C83">
            <w:pPr>
              <w:pStyle w:val="DHHStabletext"/>
              <w:spacing w:before="0" w:after="0"/>
              <w:rPr>
                <w:rFonts w:ascii="VIC" w:eastAsia="Verdana" w:hAnsi="VIC" w:cs="Verdana"/>
                <w:sz w:val="18"/>
                <w:szCs w:val="18"/>
              </w:rPr>
            </w:pPr>
          </w:p>
        </w:tc>
        <w:tc>
          <w:tcPr>
            <w:tcW w:w="1701" w:type="dxa"/>
            <w:shd w:val="clear" w:color="auto" w:fill="auto"/>
          </w:tcPr>
          <w:p w14:paraId="46A31925" w14:textId="1374BF55"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Royal Children's</w:t>
            </w:r>
          </w:p>
        </w:tc>
        <w:tc>
          <w:tcPr>
            <w:tcW w:w="2268" w:type="dxa"/>
          </w:tcPr>
          <w:p w14:paraId="7A087183" w14:textId="33E14D81" w:rsidR="00AC5C83" w:rsidRPr="00BF031D" w:rsidRDefault="00AC5C83" w:rsidP="00AC5C83">
            <w:pPr>
              <w:rPr>
                <w:rFonts w:ascii="VIC" w:hAnsi="VIC"/>
                <w:sz w:val="18"/>
                <w:szCs w:val="18"/>
              </w:rPr>
            </w:pPr>
            <w:r w:rsidRPr="001E2423">
              <w:rPr>
                <w:rFonts w:ascii="VIC" w:eastAsia="Verdana" w:hAnsi="VIC"/>
                <w:color w:val="000000"/>
                <w:sz w:val="18"/>
                <w:szCs w:val="18"/>
              </w:rPr>
              <w:t>North Western (RCH)</w:t>
            </w:r>
          </w:p>
        </w:tc>
        <w:tc>
          <w:tcPr>
            <w:tcW w:w="1518" w:type="dxa"/>
            <w:shd w:val="clear" w:color="auto" w:fill="auto"/>
          </w:tcPr>
          <w:p w14:paraId="30F79CF6" w14:textId="4267F62F" w:rsidR="00AC5C83" w:rsidRPr="00BF031D" w:rsidRDefault="00AC5C83" w:rsidP="00AC5C83">
            <w:pPr>
              <w:jc w:val="center"/>
              <w:rPr>
                <w:rFonts w:ascii="VIC" w:hAnsi="VIC"/>
                <w:sz w:val="18"/>
                <w:szCs w:val="18"/>
              </w:rPr>
            </w:pPr>
            <w:r w:rsidRPr="001E2423">
              <w:rPr>
                <w:rFonts w:ascii="VIC" w:eastAsia="Verdana" w:hAnsi="VIC"/>
                <w:color w:val="000000"/>
                <w:sz w:val="18"/>
                <w:szCs w:val="18"/>
              </w:rPr>
              <w:t>1.9</w:t>
            </w:r>
          </w:p>
        </w:tc>
        <w:tc>
          <w:tcPr>
            <w:tcW w:w="1519" w:type="dxa"/>
            <w:shd w:val="clear" w:color="auto" w:fill="auto"/>
          </w:tcPr>
          <w:p w14:paraId="264D5246" w14:textId="5304423D" w:rsidR="00AC5C83" w:rsidRPr="00BF031D" w:rsidRDefault="00AC5C83" w:rsidP="00AC5C83">
            <w:pPr>
              <w:jc w:val="center"/>
              <w:rPr>
                <w:rFonts w:ascii="VIC" w:hAnsi="VIC"/>
                <w:sz w:val="18"/>
                <w:szCs w:val="18"/>
              </w:rPr>
            </w:pPr>
            <w:r w:rsidRPr="001E2423">
              <w:rPr>
                <w:rFonts w:ascii="VIC" w:eastAsia="Verdana" w:hAnsi="VIC"/>
                <w:color w:val="000000"/>
                <w:sz w:val="18"/>
                <w:szCs w:val="18"/>
              </w:rPr>
              <w:t>5.6</w:t>
            </w:r>
          </w:p>
        </w:tc>
        <w:tc>
          <w:tcPr>
            <w:tcW w:w="1519" w:type="dxa"/>
            <w:shd w:val="clear" w:color="auto" w:fill="auto"/>
          </w:tcPr>
          <w:p w14:paraId="7F5A1726" w14:textId="4A4DE174" w:rsidR="00AC5C83" w:rsidRPr="00BF031D" w:rsidRDefault="00AC5C83" w:rsidP="00AC5C83">
            <w:pPr>
              <w:jc w:val="center"/>
              <w:rPr>
                <w:rFonts w:ascii="VIC" w:hAnsi="VIC"/>
                <w:sz w:val="18"/>
                <w:szCs w:val="18"/>
              </w:rPr>
            </w:pPr>
            <w:r w:rsidRPr="001E2423">
              <w:rPr>
                <w:rFonts w:ascii="VIC" w:eastAsia="Verdana" w:hAnsi="VIC"/>
                <w:color w:val="000000"/>
                <w:sz w:val="18"/>
                <w:szCs w:val="18"/>
              </w:rPr>
              <w:t>13.2</w:t>
            </w:r>
          </w:p>
        </w:tc>
        <w:tc>
          <w:tcPr>
            <w:tcW w:w="1518" w:type="dxa"/>
            <w:shd w:val="clear" w:color="auto" w:fill="auto"/>
          </w:tcPr>
          <w:p w14:paraId="3E371733" w14:textId="24C882AA" w:rsidR="00AC5C83" w:rsidRPr="00BF031D" w:rsidRDefault="00AC5C83" w:rsidP="00AC5C83">
            <w:pPr>
              <w:jc w:val="center"/>
              <w:rPr>
                <w:rFonts w:ascii="VIC" w:hAnsi="VIC"/>
                <w:sz w:val="18"/>
                <w:szCs w:val="18"/>
              </w:rPr>
            </w:pPr>
            <w:r w:rsidRPr="001E2423">
              <w:rPr>
                <w:rFonts w:ascii="VIC" w:eastAsia="Verdana" w:hAnsi="VIC"/>
                <w:color w:val="000000"/>
                <w:sz w:val="18"/>
                <w:szCs w:val="18"/>
              </w:rPr>
              <w:t>62 %</w:t>
            </w:r>
          </w:p>
        </w:tc>
        <w:tc>
          <w:tcPr>
            <w:tcW w:w="1519" w:type="dxa"/>
            <w:shd w:val="clear" w:color="auto" w:fill="auto"/>
          </w:tcPr>
          <w:p w14:paraId="6281C5E2" w14:textId="0A85D4E9"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519" w:type="dxa"/>
            <w:shd w:val="clear" w:color="auto" w:fill="auto"/>
          </w:tcPr>
          <w:p w14:paraId="27915E72" w14:textId="4B88987E" w:rsidR="00AC5C83" w:rsidRPr="00BF031D" w:rsidRDefault="00AC5C83" w:rsidP="00AC5C83">
            <w:pPr>
              <w:jc w:val="center"/>
              <w:rPr>
                <w:rFonts w:ascii="VIC" w:hAnsi="VIC"/>
                <w:sz w:val="18"/>
                <w:szCs w:val="18"/>
              </w:rPr>
            </w:pPr>
            <w:r w:rsidRPr="001E2423">
              <w:rPr>
                <w:rFonts w:ascii="VIC" w:eastAsia="Verdana" w:hAnsi="VIC"/>
                <w:color w:val="000000"/>
                <w:sz w:val="18"/>
                <w:szCs w:val="18"/>
              </w:rPr>
              <w:t>91 %</w:t>
            </w:r>
          </w:p>
        </w:tc>
        <w:tc>
          <w:tcPr>
            <w:tcW w:w="1519" w:type="dxa"/>
            <w:shd w:val="clear" w:color="auto" w:fill="auto"/>
          </w:tcPr>
          <w:p w14:paraId="0EE1121C" w14:textId="3815D487" w:rsidR="00AC5C83" w:rsidRPr="00BF031D" w:rsidRDefault="00AC5C83" w:rsidP="00AC5C83">
            <w:pPr>
              <w:jc w:val="center"/>
              <w:rPr>
                <w:rFonts w:ascii="VIC" w:hAnsi="VIC"/>
                <w:sz w:val="18"/>
                <w:szCs w:val="18"/>
              </w:rPr>
            </w:pPr>
            <w:r w:rsidRPr="001E2423">
              <w:rPr>
                <w:rFonts w:ascii="VIC" w:eastAsia="Verdana" w:hAnsi="VIC"/>
                <w:color w:val="000000"/>
                <w:sz w:val="18"/>
                <w:szCs w:val="18"/>
              </w:rPr>
              <w:t>19.5</w:t>
            </w:r>
          </w:p>
        </w:tc>
      </w:tr>
      <w:tr w:rsidR="00AC5C83" w:rsidRPr="00AC5C83" w14:paraId="7CA88F2C" w14:textId="77777777" w:rsidTr="009D3084">
        <w:trPr>
          <w:trHeight w:val="454"/>
        </w:trPr>
        <w:tc>
          <w:tcPr>
            <w:tcW w:w="1145" w:type="dxa"/>
            <w:shd w:val="clear" w:color="auto" w:fill="B1C9E8"/>
          </w:tcPr>
          <w:p w14:paraId="3A30DA80" w14:textId="77777777" w:rsidR="00AC5C83" w:rsidRPr="00AC5C83" w:rsidRDefault="00AC5C83" w:rsidP="00AC5C83">
            <w:pPr>
              <w:pStyle w:val="DHHStabletext"/>
              <w:spacing w:before="0" w:after="0"/>
              <w:rPr>
                <w:rFonts w:ascii="VIC SemiBold" w:eastAsia="Verdana" w:hAnsi="VIC SemiBold" w:cs="Verdana"/>
                <w:color w:val="000000" w:themeColor="text1"/>
                <w:sz w:val="18"/>
                <w:szCs w:val="18"/>
              </w:rPr>
            </w:pPr>
          </w:p>
        </w:tc>
        <w:tc>
          <w:tcPr>
            <w:tcW w:w="1701" w:type="dxa"/>
            <w:shd w:val="clear" w:color="auto" w:fill="B1C9E8"/>
          </w:tcPr>
          <w:p w14:paraId="7F3B456D" w14:textId="33733506"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TOTAL METRO</w:t>
            </w:r>
          </w:p>
        </w:tc>
        <w:tc>
          <w:tcPr>
            <w:tcW w:w="2268" w:type="dxa"/>
            <w:shd w:val="clear" w:color="auto" w:fill="B1C9E8"/>
          </w:tcPr>
          <w:p w14:paraId="1FE35A24" w14:textId="74C0B56A" w:rsidR="00AC5C83" w:rsidRPr="00AC5C83" w:rsidRDefault="00AC5C83" w:rsidP="00AC5C83">
            <w:pPr>
              <w:rPr>
                <w:rFonts w:ascii="VIC SemiBold" w:hAnsi="VIC SemiBold"/>
                <w:color w:val="000000" w:themeColor="text1"/>
                <w:sz w:val="18"/>
                <w:szCs w:val="18"/>
              </w:rPr>
            </w:pPr>
            <w:r w:rsidRPr="00AC5C83">
              <w:rPr>
                <w:rFonts w:ascii="VIC" w:eastAsia="Verdana" w:hAnsi="VIC"/>
                <w:color w:val="000000" w:themeColor="text1"/>
                <w:sz w:val="18"/>
                <w:szCs w:val="18"/>
              </w:rPr>
              <w:t xml:space="preserve"> </w:t>
            </w:r>
          </w:p>
        </w:tc>
        <w:tc>
          <w:tcPr>
            <w:tcW w:w="1518" w:type="dxa"/>
            <w:shd w:val="clear" w:color="auto" w:fill="B1C9E8"/>
          </w:tcPr>
          <w:p w14:paraId="7005CE26" w14:textId="363BDBAB"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1.9</w:t>
            </w:r>
          </w:p>
        </w:tc>
        <w:tc>
          <w:tcPr>
            <w:tcW w:w="1519" w:type="dxa"/>
            <w:shd w:val="clear" w:color="auto" w:fill="B1C9E8"/>
          </w:tcPr>
          <w:p w14:paraId="29C2750D" w14:textId="5493E7CB"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5.8</w:t>
            </w:r>
          </w:p>
        </w:tc>
        <w:tc>
          <w:tcPr>
            <w:tcW w:w="1519" w:type="dxa"/>
            <w:shd w:val="clear" w:color="auto" w:fill="B1C9E8"/>
          </w:tcPr>
          <w:p w14:paraId="24114745" w14:textId="5B907BF6"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16.6</w:t>
            </w:r>
          </w:p>
        </w:tc>
        <w:tc>
          <w:tcPr>
            <w:tcW w:w="1518" w:type="dxa"/>
            <w:shd w:val="clear" w:color="auto" w:fill="B1C9E8"/>
          </w:tcPr>
          <w:p w14:paraId="45E7E9D9" w14:textId="32EF6105"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63 %</w:t>
            </w:r>
          </w:p>
        </w:tc>
        <w:tc>
          <w:tcPr>
            <w:tcW w:w="1519" w:type="dxa"/>
            <w:shd w:val="clear" w:color="auto" w:fill="B1C9E8"/>
          </w:tcPr>
          <w:p w14:paraId="6D03041E" w14:textId="0A122B94"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54 %</w:t>
            </w:r>
          </w:p>
        </w:tc>
        <w:tc>
          <w:tcPr>
            <w:tcW w:w="1519" w:type="dxa"/>
            <w:shd w:val="clear" w:color="auto" w:fill="B1C9E8"/>
          </w:tcPr>
          <w:p w14:paraId="27C1EE62" w14:textId="0D21A591"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93 %</w:t>
            </w:r>
          </w:p>
        </w:tc>
        <w:tc>
          <w:tcPr>
            <w:tcW w:w="1519" w:type="dxa"/>
            <w:shd w:val="clear" w:color="auto" w:fill="B1C9E8"/>
          </w:tcPr>
          <w:p w14:paraId="55E2E643" w14:textId="553DE02A"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19.2</w:t>
            </w:r>
          </w:p>
        </w:tc>
      </w:tr>
      <w:tr w:rsidR="00AC5C83" w:rsidRPr="00BF031D" w14:paraId="3BF45842" w14:textId="77777777" w:rsidTr="009D3084">
        <w:trPr>
          <w:trHeight w:val="454"/>
        </w:trPr>
        <w:tc>
          <w:tcPr>
            <w:tcW w:w="1145" w:type="dxa"/>
            <w:shd w:val="clear" w:color="auto" w:fill="FFFFFF" w:themeFill="background1"/>
          </w:tcPr>
          <w:p w14:paraId="69898E55" w14:textId="071E433D"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Child Unit</w:t>
            </w:r>
          </w:p>
        </w:tc>
        <w:tc>
          <w:tcPr>
            <w:tcW w:w="1701" w:type="dxa"/>
            <w:shd w:val="clear" w:color="auto" w:fill="FFFFFF" w:themeFill="background1"/>
          </w:tcPr>
          <w:p w14:paraId="5D263CC0" w14:textId="19214CF2"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Monash Health</w:t>
            </w:r>
          </w:p>
        </w:tc>
        <w:tc>
          <w:tcPr>
            <w:tcW w:w="2268" w:type="dxa"/>
            <w:shd w:val="clear" w:color="auto" w:fill="FFFFFF" w:themeFill="background1"/>
          </w:tcPr>
          <w:p w14:paraId="1EF584D8" w14:textId="44A23712" w:rsidR="00AC5C83" w:rsidRPr="00BF031D" w:rsidRDefault="00AC5C83" w:rsidP="00AC5C83">
            <w:pPr>
              <w:rPr>
                <w:rFonts w:ascii="VIC" w:hAnsi="VIC"/>
                <w:sz w:val="18"/>
                <w:szCs w:val="18"/>
              </w:rPr>
            </w:pPr>
            <w:r w:rsidRPr="001E2423">
              <w:rPr>
                <w:rFonts w:ascii="VIC" w:eastAsia="Verdana" w:hAnsi="VIC"/>
                <w:color w:val="000000"/>
                <w:sz w:val="18"/>
                <w:szCs w:val="18"/>
              </w:rPr>
              <w:t>Oasis</w:t>
            </w:r>
          </w:p>
        </w:tc>
        <w:tc>
          <w:tcPr>
            <w:tcW w:w="1518" w:type="dxa"/>
            <w:shd w:val="clear" w:color="auto" w:fill="FFFFFF" w:themeFill="background1"/>
          </w:tcPr>
          <w:p w14:paraId="4BF605F2" w14:textId="77777777" w:rsidR="00AC5C83" w:rsidRPr="00BF031D" w:rsidRDefault="00AC5C83" w:rsidP="00AC5C83">
            <w:pPr>
              <w:jc w:val="center"/>
              <w:rPr>
                <w:rFonts w:ascii="VIC" w:hAnsi="VIC"/>
                <w:sz w:val="18"/>
                <w:szCs w:val="18"/>
              </w:rPr>
            </w:pPr>
          </w:p>
        </w:tc>
        <w:tc>
          <w:tcPr>
            <w:tcW w:w="1519" w:type="dxa"/>
            <w:shd w:val="clear" w:color="auto" w:fill="FFFFFF" w:themeFill="background1"/>
          </w:tcPr>
          <w:p w14:paraId="384EE696" w14:textId="6BD2394F" w:rsidR="00AC5C83" w:rsidRPr="00BF031D" w:rsidRDefault="00AC5C83" w:rsidP="00AC5C83">
            <w:pPr>
              <w:jc w:val="center"/>
              <w:rPr>
                <w:rFonts w:ascii="VIC" w:hAnsi="VIC"/>
                <w:sz w:val="18"/>
                <w:szCs w:val="18"/>
              </w:rPr>
            </w:pPr>
            <w:r w:rsidRPr="001E2423">
              <w:rPr>
                <w:rFonts w:ascii="VIC" w:eastAsia="Verdana" w:hAnsi="VIC"/>
                <w:color w:val="000000"/>
                <w:sz w:val="18"/>
                <w:szCs w:val="18"/>
              </w:rPr>
              <w:t>8.5</w:t>
            </w:r>
          </w:p>
        </w:tc>
        <w:tc>
          <w:tcPr>
            <w:tcW w:w="1519" w:type="dxa"/>
            <w:shd w:val="clear" w:color="auto" w:fill="FFFFFF" w:themeFill="background1"/>
          </w:tcPr>
          <w:p w14:paraId="45F0E1E2" w14:textId="00F2AA29" w:rsidR="00AC5C83" w:rsidRPr="00BF031D" w:rsidRDefault="00AC5C83" w:rsidP="00AC5C83">
            <w:pPr>
              <w:jc w:val="center"/>
              <w:rPr>
                <w:rFonts w:ascii="VIC" w:hAnsi="VIC"/>
                <w:sz w:val="18"/>
                <w:szCs w:val="18"/>
              </w:rPr>
            </w:pPr>
            <w:r w:rsidRPr="001E2423">
              <w:rPr>
                <w:rFonts w:ascii="VIC" w:eastAsia="Verdana" w:hAnsi="VIC"/>
                <w:color w:val="000000"/>
                <w:sz w:val="18"/>
                <w:szCs w:val="18"/>
              </w:rPr>
              <w:t>2.8</w:t>
            </w:r>
          </w:p>
        </w:tc>
        <w:tc>
          <w:tcPr>
            <w:tcW w:w="1518" w:type="dxa"/>
            <w:shd w:val="clear" w:color="auto" w:fill="FFFFFF" w:themeFill="background1"/>
          </w:tcPr>
          <w:p w14:paraId="45166954" w14:textId="76AB9B99" w:rsidR="00AC5C83" w:rsidRPr="00BF031D" w:rsidRDefault="00AC5C83" w:rsidP="00AC5C83">
            <w:pPr>
              <w:jc w:val="center"/>
              <w:rPr>
                <w:rFonts w:ascii="VIC" w:hAnsi="VIC"/>
                <w:sz w:val="18"/>
                <w:szCs w:val="18"/>
              </w:rPr>
            </w:pPr>
            <w:r w:rsidRPr="001E2423">
              <w:rPr>
                <w:rFonts w:ascii="VIC" w:eastAsia="Verdana" w:hAnsi="VIC"/>
                <w:color w:val="000000"/>
                <w:sz w:val="18"/>
                <w:szCs w:val="18"/>
              </w:rPr>
              <w:t>70 %</w:t>
            </w:r>
          </w:p>
        </w:tc>
        <w:tc>
          <w:tcPr>
            <w:tcW w:w="1519" w:type="dxa"/>
            <w:shd w:val="clear" w:color="auto" w:fill="FFFFFF" w:themeFill="background1"/>
          </w:tcPr>
          <w:p w14:paraId="07D38746" w14:textId="4FEDB8A1" w:rsidR="00AC5C83" w:rsidRPr="00BF031D" w:rsidRDefault="00AC5C83" w:rsidP="00AC5C83">
            <w:pPr>
              <w:jc w:val="center"/>
              <w:rPr>
                <w:rFonts w:ascii="VIC" w:hAnsi="VIC"/>
                <w:sz w:val="18"/>
                <w:szCs w:val="18"/>
              </w:rPr>
            </w:pPr>
            <w:r w:rsidRPr="001E2423">
              <w:rPr>
                <w:rFonts w:ascii="VIC" w:eastAsia="Verdana" w:hAnsi="VIC"/>
                <w:color w:val="000000"/>
                <w:sz w:val="18"/>
                <w:szCs w:val="18"/>
              </w:rPr>
              <w:t>70 %</w:t>
            </w:r>
          </w:p>
        </w:tc>
        <w:tc>
          <w:tcPr>
            <w:tcW w:w="1519" w:type="dxa"/>
            <w:shd w:val="clear" w:color="auto" w:fill="FFFFFF" w:themeFill="background1"/>
          </w:tcPr>
          <w:p w14:paraId="58F92E0B" w14:textId="7D97E3E7" w:rsidR="00AC5C83" w:rsidRPr="00BF031D" w:rsidRDefault="00AC5C83" w:rsidP="00AC5C83">
            <w:pPr>
              <w:jc w:val="center"/>
              <w:rPr>
                <w:rFonts w:ascii="VIC" w:hAnsi="VIC"/>
                <w:sz w:val="18"/>
                <w:szCs w:val="18"/>
              </w:rPr>
            </w:pPr>
            <w:r w:rsidRPr="001E2423">
              <w:rPr>
                <w:rFonts w:ascii="VIC" w:eastAsia="Verdana" w:hAnsi="VIC"/>
                <w:color w:val="000000"/>
                <w:sz w:val="18"/>
                <w:szCs w:val="18"/>
              </w:rPr>
              <w:t>93 %</w:t>
            </w:r>
          </w:p>
        </w:tc>
        <w:tc>
          <w:tcPr>
            <w:tcW w:w="1519" w:type="dxa"/>
            <w:shd w:val="clear" w:color="auto" w:fill="FFFFFF" w:themeFill="background1"/>
          </w:tcPr>
          <w:p w14:paraId="6A683CE0" w14:textId="26FAEB69" w:rsidR="00AC5C83" w:rsidRPr="00BF031D" w:rsidRDefault="00AC5C83" w:rsidP="00AC5C83">
            <w:pPr>
              <w:jc w:val="center"/>
              <w:rPr>
                <w:rFonts w:ascii="VIC" w:hAnsi="VIC"/>
                <w:sz w:val="18"/>
                <w:szCs w:val="18"/>
              </w:rPr>
            </w:pPr>
            <w:r w:rsidRPr="001E2423">
              <w:rPr>
                <w:rFonts w:ascii="VIC" w:eastAsia="Verdana" w:hAnsi="VIC"/>
                <w:color w:val="000000"/>
                <w:sz w:val="18"/>
                <w:szCs w:val="18"/>
              </w:rPr>
              <w:t>21.2</w:t>
            </w:r>
          </w:p>
        </w:tc>
      </w:tr>
      <w:tr w:rsidR="00AC5C83" w:rsidRPr="00BF031D" w14:paraId="23569CCA" w14:textId="77777777" w:rsidTr="009D3084">
        <w:trPr>
          <w:trHeight w:val="454"/>
        </w:trPr>
        <w:tc>
          <w:tcPr>
            <w:tcW w:w="1145" w:type="dxa"/>
            <w:shd w:val="clear" w:color="auto" w:fill="BFCED6"/>
          </w:tcPr>
          <w:p w14:paraId="27EAB19F" w14:textId="5E1548AE"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Statewide Child Unit</w:t>
            </w:r>
          </w:p>
        </w:tc>
        <w:tc>
          <w:tcPr>
            <w:tcW w:w="1701" w:type="dxa"/>
            <w:shd w:val="clear" w:color="auto" w:fill="BFCED6"/>
          </w:tcPr>
          <w:p w14:paraId="71ACEBD6" w14:textId="0E9D011D"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Austin Health</w:t>
            </w:r>
          </w:p>
        </w:tc>
        <w:tc>
          <w:tcPr>
            <w:tcW w:w="2268" w:type="dxa"/>
            <w:shd w:val="clear" w:color="auto" w:fill="BFCED6"/>
          </w:tcPr>
          <w:p w14:paraId="11E07119" w14:textId="1A87E413" w:rsidR="00AC5C83" w:rsidRPr="00BF031D" w:rsidRDefault="00AC5C83" w:rsidP="00AC5C83">
            <w:pPr>
              <w:rPr>
                <w:rFonts w:ascii="VIC" w:hAnsi="VIC"/>
                <w:sz w:val="18"/>
                <w:szCs w:val="18"/>
              </w:rPr>
            </w:pPr>
            <w:r w:rsidRPr="001E2423">
              <w:rPr>
                <w:rFonts w:ascii="VIC" w:eastAsia="Verdana" w:hAnsi="VIC"/>
                <w:color w:val="000000"/>
                <w:sz w:val="18"/>
                <w:szCs w:val="18"/>
              </w:rPr>
              <w:t>Statewide Child Unit (Eagle)</w:t>
            </w:r>
          </w:p>
        </w:tc>
        <w:tc>
          <w:tcPr>
            <w:tcW w:w="1518" w:type="dxa"/>
            <w:shd w:val="clear" w:color="auto" w:fill="BFCED6"/>
          </w:tcPr>
          <w:p w14:paraId="6A5F8566" w14:textId="77777777" w:rsidR="00AC5C83" w:rsidRPr="00BF031D" w:rsidRDefault="00AC5C83" w:rsidP="00AC5C83">
            <w:pPr>
              <w:jc w:val="center"/>
              <w:rPr>
                <w:rFonts w:ascii="VIC" w:hAnsi="VIC"/>
                <w:sz w:val="18"/>
                <w:szCs w:val="18"/>
              </w:rPr>
            </w:pPr>
          </w:p>
        </w:tc>
        <w:tc>
          <w:tcPr>
            <w:tcW w:w="1519" w:type="dxa"/>
            <w:shd w:val="clear" w:color="auto" w:fill="BFCED6"/>
          </w:tcPr>
          <w:p w14:paraId="6D8D9888" w14:textId="04106996" w:rsidR="00AC5C83" w:rsidRPr="00BF031D" w:rsidRDefault="00AC5C83" w:rsidP="00AC5C83">
            <w:pPr>
              <w:jc w:val="center"/>
              <w:rPr>
                <w:rFonts w:ascii="VIC" w:hAnsi="VIC"/>
                <w:sz w:val="18"/>
                <w:szCs w:val="18"/>
              </w:rPr>
            </w:pPr>
            <w:r w:rsidRPr="001E2423">
              <w:rPr>
                <w:rFonts w:ascii="VIC" w:eastAsia="Verdana" w:hAnsi="VIC"/>
                <w:color w:val="000000"/>
                <w:sz w:val="18"/>
                <w:szCs w:val="18"/>
              </w:rPr>
              <w:t>11.0</w:t>
            </w:r>
          </w:p>
        </w:tc>
        <w:tc>
          <w:tcPr>
            <w:tcW w:w="1519" w:type="dxa"/>
            <w:shd w:val="clear" w:color="auto" w:fill="BFCED6"/>
          </w:tcPr>
          <w:p w14:paraId="6C218A9F" w14:textId="52B8E0AA" w:rsidR="00AC5C83" w:rsidRPr="00BF031D" w:rsidRDefault="00AC5C83" w:rsidP="00AC5C83">
            <w:pPr>
              <w:jc w:val="center"/>
              <w:rPr>
                <w:rFonts w:ascii="VIC" w:hAnsi="VIC"/>
                <w:sz w:val="18"/>
                <w:szCs w:val="18"/>
              </w:rPr>
            </w:pPr>
            <w:r w:rsidRPr="001E2423">
              <w:rPr>
                <w:rFonts w:ascii="VIC" w:eastAsia="Verdana" w:hAnsi="VIC"/>
                <w:color w:val="000000"/>
                <w:sz w:val="18"/>
                <w:szCs w:val="18"/>
              </w:rPr>
              <w:t>0.0</w:t>
            </w:r>
          </w:p>
        </w:tc>
        <w:tc>
          <w:tcPr>
            <w:tcW w:w="1518" w:type="dxa"/>
            <w:shd w:val="clear" w:color="auto" w:fill="BFCED6"/>
          </w:tcPr>
          <w:p w14:paraId="5DCFE148" w14:textId="3AD27045" w:rsidR="00AC5C83" w:rsidRPr="00BF031D" w:rsidRDefault="00AC5C83" w:rsidP="00AC5C83">
            <w:pPr>
              <w:jc w:val="center"/>
              <w:rPr>
                <w:rFonts w:ascii="VIC" w:hAnsi="VIC"/>
                <w:sz w:val="18"/>
                <w:szCs w:val="18"/>
              </w:rPr>
            </w:pPr>
            <w:r w:rsidRPr="001E2423">
              <w:rPr>
                <w:rFonts w:ascii="VIC" w:eastAsia="Verdana" w:hAnsi="VIC"/>
                <w:color w:val="000000"/>
                <w:sz w:val="18"/>
                <w:szCs w:val="18"/>
              </w:rPr>
              <w:t>35 %</w:t>
            </w:r>
          </w:p>
        </w:tc>
        <w:tc>
          <w:tcPr>
            <w:tcW w:w="1519" w:type="dxa"/>
            <w:shd w:val="clear" w:color="auto" w:fill="BFCED6"/>
          </w:tcPr>
          <w:p w14:paraId="0B027A2D" w14:textId="7E13880E" w:rsidR="00AC5C83" w:rsidRPr="00BF031D" w:rsidRDefault="00AC5C83" w:rsidP="00AC5C83">
            <w:pPr>
              <w:jc w:val="center"/>
              <w:rPr>
                <w:rFonts w:ascii="VIC" w:hAnsi="VIC"/>
                <w:sz w:val="18"/>
                <w:szCs w:val="18"/>
              </w:rPr>
            </w:pPr>
            <w:r w:rsidRPr="001E2423">
              <w:rPr>
                <w:rFonts w:ascii="VIC" w:eastAsia="Verdana" w:hAnsi="VIC"/>
                <w:color w:val="000000"/>
                <w:sz w:val="18"/>
                <w:szCs w:val="18"/>
              </w:rPr>
              <w:t>27 %</w:t>
            </w:r>
          </w:p>
        </w:tc>
        <w:tc>
          <w:tcPr>
            <w:tcW w:w="1519" w:type="dxa"/>
            <w:shd w:val="clear" w:color="auto" w:fill="BFCED6"/>
          </w:tcPr>
          <w:p w14:paraId="7915BCDA" w14:textId="0E3003D3" w:rsidR="00AC5C83" w:rsidRPr="00BF031D" w:rsidRDefault="00AC5C83" w:rsidP="00AC5C83">
            <w:pPr>
              <w:jc w:val="center"/>
              <w:rPr>
                <w:rFonts w:ascii="VIC" w:hAnsi="VIC"/>
                <w:sz w:val="18"/>
                <w:szCs w:val="18"/>
              </w:rPr>
            </w:pPr>
            <w:r w:rsidRPr="001E2423">
              <w:rPr>
                <w:rFonts w:ascii="VIC" w:eastAsia="Verdana" w:hAnsi="VIC"/>
                <w:color w:val="000000"/>
                <w:sz w:val="18"/>
                <w:szCs w:val="18"/>
              </w:rPr>
              <w:t>35 %</w:t>
            </w:r>
          </w:p>
        </w:tc>
        <w:tc>
          <w:tcPr>
            <w:tcW w:w="1519" w:type="dxa"/>
            <w:shd w:val="clear" w:color="auto" w:fill="BFCED6"/>
          </w:tcPr>
          <w:p w14:paraId="51FAF35A" w14:textId="5F555EC6" w:rsidR="00AC5C83" w:rsidRPr="00BF031D" w:rsidRDefault="00AC5C83" w:rsidP="00AC5C83">
            <w:pPr>
              <w:jc w:val="center"/>
              <w:rPr>
                <w:rFonts w:ascii="VIC" w:hAnsi="VIC"/>
                <w:sz w:val="18"/>
                <w:szCs w:val="18"/>
              </w:rPr>
            </w:pPr>
            <w:r w:rsidRPr="001E2423">
              <w:rPr>
                <w:rFonts w:ascii="VIC" w:eastAsia="Verdana" w:hAnsi="VIC"/>
                <w:color w:val="000000"/>
                <w:sz w:val="18"/>
                <w:szCs w:val="18"/>
              </w:rPr>
              <w:t>26.0</w:t>
            </w:r>
          </w:p>
        </w:tc>
      </w:tr>
    </w:tbl>
    <w:p w14:paraId="4CC9A3BC" w14:textId="77777777" w:rsidR="00C304B4" w:rsidRDefault="00C304B4" w:rsidP="00C304B4">
      <w:pPr>
        <w:rPr>
          <w:sz w:val="6"/>
        </w:rPr>
      </w:pPr>
    </w:p>
    <w:p w14:paraId="6E9B3F88" w14:textId="77777777" w:rsidR="00C304B4" w:rsidRDefault="00C304B4" w:rsidP="00C304B4">
      <w:pPr>
        <w:widowControl/>
        <w:rPr>
          <w:sz w:val="6"/>
        </w:rPr>
      </w:pPr>
      <w:r>
        <w:rPr>
          <w:sz w:val="6"/>
        </w:rPr>
        <w:br w:type="page"/>
      </w:r>
    </w:p>
    <w:p w14:paraId="54E1353F" w14:textId="77777777" w:rsidR="00C304B4" w:rsidRPr="00FF4734" w:rsidRDefault="00C304B4" w:rsidP="00C304B4">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570"/>
        <w:gridCol w:w="1985"/>
        <w:gridCol w:w="1108"/>
        <w:gridCol w:w="1108"/>
        <w:gridCol w:w="1108"/>
        <w:gridCol w:w="1108"/>
        <w:gridCol w:w="1108"/>
        <w:gridCol w:w="1109"/>
        <w:gridCol w:w="1108"/>
        <w:gridCol w:w="1108"/>
        <w:gridCol w:w="1108"/>
        <w:gridCol w:w="1108"/>
        <w:gridCol w:w="1109"/>
      </w:tblGrid>
      <w:tr w:rsidR="00C304B4" w:rsidRPr="00A6366B" w14:paraId="28880DBE" w14:textId="77777777" w:rsidTr="009D3084">
        <w:trPr>
          <w:trHeight w:val="1062"/>
          <w:tblHeader/>
        </w:trPr>
        <w:tc>
          <w:tcPr>
            <w:tcW w:w="3555" w:type="dxa"/>
            <w:gridSpan w:val="2"/>
            <w:shd w:val="clear" w:color="auto" w:fill="FFFFFF"/>
            <w:vAlign w:val="bottom"/>
          </w:tcPr>
          <w:p w14:paraId="5EC4A101" w14:textId="5BC12871" w:rsidR="00C304B4" w:rsidRPr="00592F37" w:rsidRDefault="00C304B4" w:rsidP="009D3084">
            <w:pPr>
              <w:pStyle w:val="Heading1"/>
              <w:spacing w:before="0" w:line="240" w:lineRule="auto"/>
              <w:rPr>
                <w:color w:val="244C5A"/>
                <w:sz w:val="28"/>
                <w:szCs w:val="28"/>
              </w:rPr>
            </w:pPr>
            <w:bookmarkStart w:id="8" w:name="_Toc45898291"/>
            <w:r>
              <w:rPr>
                <w:color w:val="244C5A"/>
                <w:sz w:val="22"/>
                <w:szCs w:val="28"/>
              </w:rPr>
              <w:t>Community</w:t>
            </w:r>
            <w:r w:rsidRPr="00052DAD">
              <w:rPr>
                <w:color w:val="244C5A"/>
                <w:sz w:val="22"/>
                <w:szCs w:val="28"/>
              </w:rPr>
              <w:br w:type="textWrapping" w:clear="all"/>
            </w:r>
            <w:r>
              <w:rPr>
                <w:color w:val="244C5A"/>
                <w:sz w:val="22"/>
                <w:szCs w:val="28"/>
              </w:rPr>
              <w:t>2019–20 Q1–Q</w:t>
            </w:r>
            <w:r w:rsidR="00AC5C83">
              <w:rPr>
                <w:color w:val="244C5A"/>
                <w:sz w:val="22"/>
                <w:szCs w:val="28"/>
              </w:rPr>
              <w:t>4</w:t>
            </w:r>
            <w:bookmarkEnd w:id="8"/>
          </w:p>
        </w:tc>
        <w:tc>
          <w:tcPr>
            <w:tcW w:w="1108" w:type="dxa"/>
            <w:shd w:val="clear" w:color="auto" w:fill="FFFFFF"/>
            <w:vAlign w:val="bottom"/>
          </w:tcPr>
          <w:p w14:paraId="38618B84" w14:textId="77777777" w:rsidR="00C304B4" w:rsidRPr="0067289E" w:rsidRDefault="00C304B4" w:rsidP="009D3084">
            <w:pPr>
              <w:pStyle w:val="VAHItablecolhead"/>
              <w:rPr>
                <w:rFonts w:eastAsia="Verdana"/>
                <w:color w:val="244C5A"/>
                <w:sz w:val="16"/>
              </w:rPr>
            </w:pPr>
            <w:r w:rsidRPr="0067289E">
              <w:rPr>
                <w:sz w:val="16"/>
              </w:rPr>
              <w:t>Pre admission contact (by resp AMHS)</w:t>
            </w:r>
          </w:p>
        </w:tc>
        <w:tc>
          <w:tcPr>
            <w:tcW w:w="1108" w:type="dxa"/>
            <w:shd w:val="clear" w:color="auto" w:fill="FFFFFF"/>
            <w:vAlign w:val="bottom"/>
          </w:tcPr>
          <w:p w14:paraId="11320CDD" w14:textId="77777777" w:rsidR="00C304B4" w:rsidRPr="0067289E" w:rsidRDefault="00C304B4" w:rsidP="009D3084">
            <w:pPr>
              <w:pStyle w:val="VAHItablecolhead"/>
              <w:rPr>
                <w:rFonts w:eastAsia="Verdana"/>
                <w:color w:val="244C5A"/>
                <w:sz w:val="16"/>
              </w:rPr>
            </w:pPr>
            <w:r w:rsidRPr="0067289E">
              <w:rPr>
                <w:sz w:val="16"/>
              </w:rPr>
              <w:t>7 day post discharge follow up (by resp AMHS)</w:t>
            </w:r>
          </w:p>
        </w:tc>
        <w:tc>
          <w:tcPr>
            <w:tcW w:w="1108" w:type="dxa"/>
            <w:shd w:val="clear" w:color="auto" w:fill="FFFFFF"/>
            <w:vAlign w:val="bottom"/>
          </w:tcPr>
          <w:p w14:paraId="48243FD2" w14:textId="77777777" w:rsidR="00C304B4" w:rsidRPr="0067289E" w:rsidRDefault="00C304B4" w:rsidP="009D3084">
            <w:pPr>
              <w:pStyle w:val="VAHItablecolhead"/>
              <w:rPr>
                <w:sz w:val="16"/>
              </w:rPr>
            </w:pPr>
            <w:r w:rsidRPr="0067289E">
              <w:rPr>
                <w:sz w:val="16"/>
              </w:rPr>
              <w:t>Closed cases re-referred within 6 months</w:t>
            </w:r>
          </w:p>
        </w:tc>
        <w:tc>
          <w:tcPr>
            <w:tcW w:w="1108" w:type="dxa"/>
            <w:shd w:val="clear" w:color="auto" w:fill="FFFFFF"/>
            <w:vAlign w:val="bottom"/>
          </w:tcPr>
          <w:p w14:paraId="31B12458" w14:textId="77777777" w:rsidR="00C304B4" w:rsidRPr="0067289E" w:rsidRDefault="00C304B4" w:rsidP="009D3084">
            <w:pPr>
              <w:pStyle w:val="VAHItablecolhead"/>
              <w:rPr>
                <w:sz w:val="16"/>
              </w:rPr>
            </w:pPr>
            <w:r w:rsidRPr="0067289E">
              <w:rPr>
                <w:sz w:val="16"/>
              </w:rPr>
              <w:t>Average length of case (days)</w:t>
            </w:r>
          </w:p>
        </w:tc>
        <w:tc>
          <w:tcPr>
            <w:tcW w:w="1108" w:type="dxa"/>
            <w:shd w:val="clear" w:color="auto" w:fill="FFFFFF"/>
            <w:vAlign w:val="bottom"/>
          </w:tcPr>
          <w:p w14:paraId="73CC21A0" w14:textId="77777777" w:rsidR="00C304B4" w:rsidRPr="0067289E" w:rsidRDefault="00C304B4" w:rsidP="009D3084">
            <w:pPr>
              <w:pStyle w:val="VAHItablecolhead"/>
              <w:rPr>
                <w:sz w:val="16"/>
              </w:rPr>
            </w:pPr>
            <w:r w:rsidRPr="0067289E">
              <w:rPr>
                <w:sz w:val="16"/>
              </w:rPr>
              <w:t>Average treatment days</w:t>
            </w:r>
          </w:p>
        </w:tc>
        <w:tc>
          <w:tcPr>
            <w:tcW w:w="1109" w:type="dxa"/>
            <w:shd w:val="clear" w:color="auto" w:fill="FFFFFF"/>
            <w:vAlign w:val="bottom"/>
          </w:tcPr>
          <w:p w14:paraId="7932F946" w14:textId="77777777" w:rsidR="00C304B4" w:rsidRPr="0067289E" w:rsidRDefault="00C304B4" w:rsidP="009D3084">
            <w:pPr>
              <w:pStyle w:val="VAHItablecolhead"/>
              <w:rPr>
                <w:rFonts w:eastAsia="Verdana"/>
                <w:color w:val="244C5A"/>
                <w:sz w:val="16"/>
              </w:rPr>
            </w:pPr>
            <w:r w:rsidRPr="0067289E">
              <w:rPr>
                <w:sz w:val="16"/>
              </w:rPr>
              <w:t>HoNOS compliance</w:t>
            </w:r>
          </w:p>
        </w:tc>
        <w:tc>
          <w:tcPr>
            <w:tcW w:w="1108" w:type="dxa"/>
            <w:shd w:val="clear" w:color="auto" w:fill="FFFFFF"/>
            <w:vAlign w:val="bottom"/>
          </w:tcPr>
          <w:p w14:paraId="3391DFE7" w14:textId="77777777" w:rsidR="00C304B4" w:rsidRPr="0067289E" w:rsidRDefault="00C304B4" w:rsidP="009D3084">
            <w:pPr>
              <w:pStyle w:val="VAHItablecolhead"/>
              <w:rPr>
                <w:rFonts w:eastAsia="Verdana"/>
                <w:color w:val="244C5A"/>
                <w:sz w:val="16"/>
              </w:rPr>
            </w:pPr>
            <w:r w:rsidRPr="0067289E">
              <w:rPr>
                <w:sz w:val="16"/>
              </w:rPr>
              <w:t>Average HoNOS at case start</w:t>
            </w:r>
          </w:p>
        </w:tc>
        <w:tc>
          <w:tcPr>
            <w:tcW w:w="1108" w:type="dxa"/>
            <w:shd w:val="clear" w:color="auto" w:fill="FFFFFF"/>
            <w:vAlign w:val="bottom"/>
          </w:tcPr>
          <w:p w14:paraId="7E4762ED" w14:textId="77777777" w:rsidR="00C304B4" w:rsidRPr="0067289E" w:rsidRDefault="00C304B4" w:rsidP="009D3084">
            <w:pPr>
              <w:pStyle w:val="VAHItablecolhead"/>
              <w:rPr>
                <w:rFonts w:eastAsia="Verdana"/>
                <w:color w:val="244C5A"/>
                <w:sz w:val="16"/>
              </w:rPr>
            </w:pPr>
            <w:r w:rsidRPr="0067289E">
              <w:rPr>
                <w:sz w:val="16"/>
              </w:rPr>
              <w:t>Cases with significant improvement at closure</w:t>
            </w:r>
          </w:p>
        </w:tc>
        <w:tc>
          <w:tcPr>
            <w:tcW w:w="1108" w:type="dxa"/>
            <w:shd w:val="clear" w:color="auto" w:fill="FFFFFF"/>
            <w:vAlign w:val="bottom"/>
          </w:tcPr>
          <w:p w14:paraId="13AB1F47" w14:textId="77777777" w:rsidR="00C304B4" w:rsidRPr="0067289E" w:rsidRDefault="00C304B4" w:rsidP="009D3084">
            <w:pPr>
              <w:pStyle w:val="VAHItablecolhead"/>
              <w:rPr>
                <w:rFonts w:eastAsia="Verdana"/>
                <w:color w:val="244C5A"/>
                <w:sz w:val="16"/>
              </w:rPr>
            </w:pPr>
            <w:r w:rsidRPr="0067289E">
              <w:rPr>
                <w:sz w:val="16"/>
              </w:rPr>
              <w:t>Self rated measures completed</w:t>
            </w:r>
          </w:p>
        </w:tc>
        <w:tc>
          <w:tcPr>
            <w:tcW w:w="1108" w:type="dxa"/>
            <w:shd w:val="clear" w:color="auto" w:fill="FFFFFF"/>
            <w:vAlign w:val="bottom"/>
          </w:tcPr>
          <w:p w14:paraId="26DB9FF7" w14:textId="77777777" w:rsidR="00C304B4" w:rsidRPr="0067289E" w:rsidRDefault="00C304B4" w:rsidP="009D3084">
            <w:pPr>
              <w:pStyle w:val="VAHItablecolhead"/>
              <w:rPr>
                <w:rFonts w:eastAsia="Verdana"/>
                <w:color w:val="244C5A"/>
                <w:sz w:val="16"/>
              </w:rPr>
            </w:pPr>
            <w:r w:rsidRPr="0067289E">
              <w:rPr>
                <w:sz w:val="16"/>
              </w:rPr>
              <w:t>Average change in clinically significant items</w:t>
            </w:r>
          </w:p>
        </w:tc>
        <w:tc>
          <w:tcPr>
            <w:tcW w:w="1109" w:type="dxa"/>
            <w:shd w:val="clear" w:color="auto" w:fill="FFFFFF"/>
            <w:vAlign w:val="bottom"/>
          </w:tcPr>
          <w:p w14:paraId="529490E9" w14:textId="77777777" w:rsidR="00C304B4" w:rsidRPr="0067289E" w:rsidRDefault="00C304B4" w:rsidP="009D3084">
            <w:pPr>
              <w:pStyle w:val="VAHItablecolhead"/>
              <w:rPr>
                <w:rFonts w:eastAsia="Verdana"/>
                <w:color w:val="244C5A"/>
                <w:sz w:val="16"/>
              </w:rPr>
            </w:pPr>
            <w:r w:rsidRPr="0067289E">
              <w:rPr>
                <w:sz w:val="16"/>
              </w:rPr>
              <w:t>CAMHS consumers aged under 12</w:t>
            </w:r>
          </w:p>
        </w:tc>
      </w:tr>
      <w:tr w:rsidR="00AC5C83" w:rsidRPr="00BF031D" w14:paraId="261CE29F" w14:textId="77777777" w:rsidTr="009D3084">
        <w:trPr>
          <w:trHeight w:val="454"/>
        </w:trPr>
        <w:tc>
          <w:tcPr>
            <w:tcW w:w="1570" w:type="dxa"/>
            <w:shd w:val="clear" w:color="auto" w:fill="BFCED6"/>
          </w:tcPr>
          <w:p w14:paraId="0683F65D" w14:textId="7D2C2033"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Alfred Health</w:t>
            </w:r>
          </w:p>
        </w:tc>
        <w:tc>
          <w:tcPr>
            <w:tcW w:w="1985" w:type="dxa"/>
            <w:shd w:val="clear" w:color="auto" w:fill="BFCED6"/>
          </w:tcPr>
          <w:p w14:paraId="0F8EF414" w14:textId="3E0902E3"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Inner South East (The Alfred)</w:t>
            </w:r>
          </w:p>
        </w:tc>
        <w:tc>
          <w:tcPr>
            <w:tcW w:w="1108" w:type="dxa"/>
            <w:shd w:val="clear" w:color="auto" w:fill="BFCED6"/>
          </w:tcPr>
          <w:p w14:paraId="7A364FC5" w14:textId="48D962EE" w:rsidR="00AC5C83" w:rsidRPr="00BF031D" w:rsidRDefault="00AC5C83" w:rsidP="00AC5C83">
            <w:pPr>
              <w:jc w:val="center"/>
              <w:rPr>
                <w:rFonts w:ascii="VIC" w:hAnsi="VIC"/>
                <w:sz w:val="18"/>
                <w:szCs w:val="18"/>
              </w:rPr>
            </w:pPr>
            <w:r w:rsidRPr="001E2423">
              <w:rPr>
                <w:rFonts w:ascii="VIC" w:eastAsia="Verdana" w:hAnsi="VIC"/>
                <w:color w:val="000000"/>
                <w:sz w:val="18"/>
                <w:szCs w:val="18"/>
              </w:rPr>
              <w:t>39 %</w:t>
            </w:r>
          </w:p>
        </w:tc>
        <w:tc>
          <w:tcPr>
            <w:tcW w:w="1108" w:type="dxa"/>
            <w:shd w:val="clear" w:color="auto" w:fill="BFCED6"/>
          </w:tcPr>
          <w:p w14:paraId="109F34BA" w14:textId="7FA86700" w:rsidR="00AC5C83" w:rsidRPr="00BF031D" w:rsidRDefault="00AC5C83" w:rsidP="00AC5C83">
            <w:pPr>
              <w:jc w:val="center"/>
              <w:rPr>
                <w:rFonts w:ascii="VIC" w:hAnsi="VIC"/>
                <w:sz w:val="18"/>
                <w:szCs w:val="18"/>
              </w:rPr>
            </w:pPr>
            <w:r w:rsidRPr="001E2423">
              <w:rPr>
                <w:rFonts w:ascii="VIC" w:eastAsia="Verdana" w:hAnsi="VIC"/>
                <w:color w:val="000000"/>
                <w:sz w:val="18"/>
                <w:szCs w:val="18"/>
              </w:rPr>
              <w:t>84 %</w:t>
            </w:r>
          </w:p>
        </w:tc>
        <w:tc>
          <w:tcPr>
            <w:tcW w:w="1108" w:type="dxa"/>
            <w:shd w:val="clear" w:color="auto" w:fill="BFCED6"/>
          </w:tcPr>
          <w:p w14:paraId="46B6764C" w14:textId="444284F3" w:rsidR="00AC5C83" w:rsidRPr="00BF031D" w:rsidRDefault="00AC5C83" w:rsidP="00AC5C83">
            <w:pPr>
              <w:jc w:val="center"/>
              <w:rPr>
                <w:rFonts w:ascii="VIC" w:hAnsi="VIC"/>
                <w:sz w:val="18"/>
                <w:szCs w:val="18"/>
              </w:rPr>
            </w:pPr>
            <w:r w:rsidRPr="001E2423">
              <w:rPr>
                <w:rFonts w:ascii="VIC" w:eastAsia="Verdana" w:hAnsi="VIC"/>
                <w:color w:val="000000"/>
                <w:sz w:val="18"/>
                <w:szCs w:val="18"/>
              </w:rPr>
              <w:t>8 %</w:t>
            </w:r>
          </w:p>
        </w:tc>
        <w:tc>
          <w:tcPr>
            <w:tcW w:w="1108" w:type="dxa"/>
            <w:shd w:val="clear" w:color="auto" w:fill="BFCED6"/>
          </w:tcPr>
          <w:p w14:paraId="60E51A53" w14:textId="7B32AEC6" w:rsidR="00AC5C83" w:rsidRPr="00BF031D" w:rsidRDefault="00AC5C83" w:rsidP="00AC5C83">
            <w:pPr>
              <w:jc w:val="center"/>
              <w:rPr>
                <w:rFonts w:ascii="VIC" w:hAnsi="VIC"/>
                <w:sz w:val="18"/>
                <w:szCs w:val="18"/>
              </w:rPr>
            </w:pPr>
            <w:r w:rsidRPr="001E2423">
              <w:rPr>
                <w:rFonts w:ascii="VIC" w:eastAsia="Verdana" w:hAnsi="VIC"/>
                <w:color w:val="000000"/>
                <w:sz w:val="18"/>
                <w:szCs w:val="18"/>
              </w:rPr>
              <w:t>262.6</w:t>
            </w:r>
          </w:p>
        </w:tc>
        <w:tc>
          <w:tcPr>
            <w:tcW w:w="1108" w:type="dxa"/>
            <w:shd w:val="clear" w:color="auto" w:fill="BFCED6"/>
          </w:tcPr>
          <w:p w14:paraId="502FBE63" w14:textId="472FBA87" w:rsidR="00AC5C83" w:rsidRPr="00BF031D" w:rsidRDefault="00AC5C83" w:rsidP="00AC5C83">
            <w:pPr>
              <w:jc w:val="center"/>
              <w:rPr>
                <w:rFonts w:ascii="VIC" w:hAnsi="VIC"/>
                <w:sz w:val="18"/>
                <w:szCs w:val="18"/>
              </w:rPr>
            </w:pPr>
            <w:r w:rsidRPr="001E2423">
              <w:rPr>
                <w:rFonts w:ascii="VIC" w:eastAsia="Verdana" w:hAnsi="VIC"/>
                <w:color w:val="000000"/>
                <w:sz w:val="18"/>
                <w:szCs w:val="18"/>
              </w:rPr>
              <w:t>6.7</w:t>
            </w:r>
          </w:p>
        </w:tc>
        <w:tc>
          <w:tcPr>
            <w:tcW w:w="1109" w:type="dxa"/>
            <w:shd w:val="clear" w:color="auto" w:fill="BFCED6"/>
          </w:tcPr>
          <w:p w14:paraId="52A7CCCE" w14:textId="473ACF29" w:rsidR="00AC5C83" w:rsidRPr="00BF031D" w:rsidRDefault="00AC5C83" w:rsidP="00AC5C83">
            <w:pPr>
              <w:jc w:val="center"/>
              <w:rPr>
                <w:rFonts w:ascii="VIC" w:hAnsi="VIC"/>
                <w:sz w:val="18"/>
                <w:szCs w:val="18"/>
              </w:rPr>
            </w:pPr>
            <w:r w:rsidRPr="001E2423">
              <w:rPr>
                <w:rFonts w:ascii="VIC" w:eastAsia="Verdana" w:hAnsi="VIC"/>
                <w:color w:val="000000"/>
                <w:sz w:val="18"/>
                <w:szCs w:val="18"/>
              </w:rPr>
              <w:t>56 %</w:t>
            </w:r>
          </w:p>
        </w:tc>
        <w:tc>
          <w:tcPr>
            <w:tcW w:w="1108" w:type="dxa"/>
            <w:shd w:val="clear" w:color="auto" w:fill="BFCED6"/>
          </w:tcPr>
          <w:p w14:paraId="0A68E9CF" w14:textId="0AE574EE" w:rsidR="00AC5C83" w:rsidRPr="00BF031D" w:rsidRDefault="00AC5C83" w:rsidP="00AC5C83">
            <w:pPr>
              <w:jc w:val="center"/>
              <w:rPr>
                <w:rFonts w:ascii="VIC" w:hAnsi="VIC"/>
                <w:sz w:val="18"/>
                <w:szCs w:val="18"/>
              </w:rPr>
            </w:pPr>
            <w:r w:rsidRPr="001E2423">
              <w:rPr>
                <w:rFonts w:ascii="VIC" w:eastAsia="Verdana" w:hAnsi="VIC"/>
                <w:color w:val="000000"/>
                <w:sz w:val="18"/>
                <w:szCs w:val="18"/>
              </w:rPr>
              <w:t>17.9</w:t>
            </w:r>
          </w:p>
        </w:tc>
        <w:tc>
          <w:tcPr>
            <w:tcW w:w="1108" w:type="dxa"/>
            <w:shd w:val="clear" w:color="auto" w:fill="BFCED6"/>
          </w:tcPr>
          <w:p w14:paraId="75DE5E0C" w14:textId="2BDAF4A9" w:rsidR="00AC5C83" w:rsidRPr="00BF031D" w:rsidRDefault="00AC5C83" w:rsidP="00AC5C83">
            <w:pPr>
              <w:jc w:val="center"/>
              <w:rPr>
                <w:rFonts w:ascii="VIC" w:hAnsi="VIC"/>
                <w:sz w:val="18"/>
                <w:szCs w:val="18"/>
              </w:rPr>
            </w:pPr>
            <w:r w:rsidRPr="001E2423">
              <w:rPr>
                <w:rFonts w:ascii="VIC" w:eastAsia="Verdana" w:hAnsi="VIC"/>
                <w:color w:val="000000"/>
                <w:sz w:val="18"/>
                <w:szCs w:val="18"/>
              </w:rPr>
              <w:t>51 %</w:t>
            </w:r>
          </w:p>
        </w:tc>
        <w:tc>
          <w:tcPr>
            <w:tcW w:w="1108" w:type="dxa"/>
            <w:shd w:val="clear" w:color="auto" w:fill="BFCED6"/>
          </w:tcPr>
          <w:p w14:paraId="6ECAE6DF" w14:textId="41F7F041" w:rsidR="00AC5C83" w:rsidRPr="00BF031D" w:rsidRDefault="00AC5C83" w:rsidP="00AC5C83">
            <w:pPr>
              <w:jc w:val="center"/>
              <w:rPr>
                <w:rFonts w:ascii="VIC" w:hAnsi="VIC"/>
                <w:sz w:val="18"/>
                <w:szCs w:val="18"/>
              </w:rPr>
            </w:pPr>
            <w:r w:rsidRPr="001E2423">
              <w:rPr>
                <w:rFonts w:ascii="VIC" w:eastAsia="Verdana" w:hAnsi="VIC"/>
                <w:color w:val="000000"/>
                <w:sz w:val="18"/>
                <w:szCs w:val="18"/>
              </w:rPr>
              <w:t>6 %</w:t>
            </w:r>
          </w:p>
        </w:tc>
        <w:tc>
          <w:tcPr>
            <w:tcW w:w="1108" w:type="dxa"/>
            <w:shd w:val="clear" w:color="auto" w:fill="BFCED6"/>
          </w:tcPr>
          <w:p w14:paraId="7907E43B" w14:textId="370842C0" w:rsidR="00AC5C83" w:rsidRPr="00BF031D" w:rsidRDefault="00AC5C83" w:rsidP="00AC5C83">
            <w:pPr>
              <w:jc w:val="center"/>
              <w:rPr>
                <w:rFonts w:ascii="VIC" w:hAnsi="VIC"/>
                <w:sz w:val="18"/>
                <w:szCs w:val="18"/>
              </w:rPr>
            </w:pPr>
            <w:r w:rsidRPr="001E2423">
              <w:rPr>
                <w:rFonts w:ascii="VIC" w:eastAsia="Verdana" w:hAnsi="VIC"/>
                <w:color w:val="000000"/>
                <w:sz w:val="18"/>
                <w:szCs w:val="18"/>
              </w:rPr>
              <w:t>1.2</w:t>
            </w:r>
          </w:p>
        </w:tc>
        <w:tc>
          <w:tcPr>
            <w:tcW w:w="1109" w:type="dxa"/>
            <w:shd w:val="clear" w:color="auto" w:fill="BFCED6"/>
          </w:tcPr>
          <w:p w14:paraId="3ECBA8F0" w14:textId="3137BCDE" w:rsidR="00AC5C83" w:rsidRPr="00BF031D" w:rsidRDefault="00AC5C83" w:rsidP="00AC5C83">
            <w:pPr>
              <w:jc w:val="center"/>
              <w:rPr>
                <w:rFonts w:ascii="VIC" w:hAnsi="VIC"/>
                <w:sz w:val="18"/>
                <w:szCs w:val="18"/>
              </w:rPr>
            </w:pPr>
            <w:r w:rsidRPr="001E2423">
              <w:rPr>
                <w:rFonts w:ascii="VIC" w:eastAsia="Verdana" w:hAnsi="VIC"/>
                <w:color w:val="000000"/>
                <w:sz w:val="18"/>
                <w:szCs w:val="18"/>
              </w:rPr>
              <w:t>39 %</w:t>
            </w:r>
          </w:p>
        </w:tc>
      </w:tr>
      <w:tr w:rsidR="00AC5C83" w:rsidRPr="00BF031D" w14:paraId="2739707D" w14:textId="77777777" w:rsidTr="009D3084">
        <w:trPr>
          <w:trHeight w:val="454"/>
        </w:trPr>
        <w:tc>
          <w:tcPr>
            <w:tcW w:w="1570" w:type="dxa"/>
            <w:shd w:val="clear" w:color="auto" w:fill="auto"/>
          </w:tcPr>
          <w:p w14:paraId="3D2EA2A9" w14:textId="603C8217"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Austin Health</w:t>
            </w:r>
          </w:p>
        </w:tc>
        <w:tc>
          <w:tcPr>
            <w:tcW w:w="1985" w:type="dxa"/>
            <w:shd w:val="clear" w:color="auto" w:fill="auto"/>
          </w:tcPr>
          <w:p w14:paraId="41231060" w14:textId="193EEA3D"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North East (Austin)</w:t>
            </w:r>
          </w:p>
        </w:tc>
        <w:tc>
          <w:tcPr>
            <w:tcW w:w="1108" w:type="dxa"/>
            <w:shd w:val="clear" w:color="auto" w:fill="auto"/>
          </w:tcPr>
          <w:p w14:paraId="79380AB0" w14:textId="0BE0EB7C" w:rsidR="00AC5C83" w:rsidRPr="00BF031D" w:rsidRDefault="00AC5C83" w:rsidP="00AC5C83">
            <w:pPr>
              <w:jc w:val="center"/>
              <w:rPr>
                <w:rFonts w:ascii="VIC" w:hAnsi="VIC"/>
                <w:sz w:val="18"/>
                <w:szCs w:val="18"/>
              </w:rPr>
            </w:pPr>
            <w:r w:rsidRPr="001E2423">
              <w:rPr>
                <w:rFonts w:ascii="VIC" w:eastAsia="Verdana" w:hAnsi="VIC"/>
                <w:color w:val="000000"/>
                <w:sz w:val="18"/>
                <w:szCs w:val="18"/>
              </w:rPr>
              <w:t>63 %</w:t>
            </w:r>
          </w:p>
        </w:tc>
        <w:tc>
          <w:tcPr>
            <w:tcW w:w="1108" w:type="dxa"/>
            <w:shd w:val="clear" w:color="auto" w:fill="auto"/>
          </w:tcPr>
          <w:p w14:paraId="75FEFDA4" w14:textId="504E30F6" w:rsidR="00AC5C83" w:rsidRPr="00BF031D" w:rsidRDefault="00AC5C83" w:rsidP="00AC5C83">
            <w:pPr>
              <w:jc w:val="center"/>
              <w:rPr>
                <w:rFonts w:ascii="VIC" w:hAnsi="VIC"/>
                <w:sz w:val="18"/>
                <w:szCs w:val="18"/>
              </w:rPr>
            </w:pPr>
            <w:r w:rsidRPr="001E2423">
              <w:rPr>
                <w:rFonts w:ascii="VIC" w:eastAsia="Verdana" w:hAnsi="VIC"/>
                <w:color w:val="000000"/>
                <w:sz w:val="18"/>
                <w:szCs w:val="18"/>
              </w:rPr>
              <w:t>91 %</w:t>
            </w:r>
          </w:p>
        </w:tc>
        <w:tc>
          <w:tcPr>
            <w:tcW w:w="1108" w:type="dxa"/>
          </w:tcPr>
          <w:p w14:paraId="52557895" w14:textId="77F621D3" w:rsidR="00AC5C83" w:rsidRPr="00BF031D" w:rsidRDefault="00AC5C83" w:rsidP="00AC5C83">
            <w:pPr>
              <w:jc w:val="center"/>
              <w:rPr>
                <w:rFonts w:ascii="VIC" w:hAnsi="VIC"/>
                <w:sz w:val="18"/>
                <w:szCs w:val="18"/>
              </w:rPr>
            </w:pPr>
            <w:r w:rsidRPr="001E2423">
              <w:rPr>
                <w:rFonts w:ascii="VIC" w:eastAsia="Verdana" w:hAnsi="VIC"/>
                <w:color w:val="000000"/>
                <w:sz w:val="18"/>
                <w:szCs w:val="18"/>
              </w:rPr>
              <w:t>26 %</w:t>
            </w:r>
          </w:p>
        </w:tc>
        <w:tc>
          <w:tcPr>
            <w:tcW w:w="1108" w:type="dxa"/>
          </w:tcPr>
          <w:p w14:paraId="33FFDDA5" w14:textId="1BC23CEE" w:rsidR="00AC5C83" w:rsidRPr="00BF031D" w:rsidRDefault="00AC5C83" w:rsidP="00AC5C83">
            <w:pPr>
              <w:jc w:val="center"/>
              <w:rPr>
                <w:rFonts w:ascii="VIC" w:hAnsi="VIC"/>
                <w:sz w:val="18"/>
                <w:szCs w:val="18"/>
              </w:rPr>
            </w:pPr>
            <w:r w:rsidRPr="001E2423">
              <w:rPr>
                <w:rFonts w:ascii="VIC" w:eastAsia="Verdana" w:hAnsi="VIC"/>
                <w:color w:val="000000"/>
                <w:sz w:val="18"/>
                <w:szCs w:val="18"/>
              </w:rPr>
              <w:t>182.1</w:t>
            </w:r>
          </w:p>
        </w:tc>
        <w:tc>
          <w:tcPr>
            <w:tcW w:w="1108" w:type="dxa"/>
          </w:tcPr>
          <w:p w14:paraId="79E6E3E5" w14:textId="235A1FF3" w:rsidR="00AC5C83" w:rsidRPr="00BF031D" w:rsidRDefault="00AC5C83" w:rsidP="00AC5C83">
            <w:pPr>
              <w:jc w:val="center"/>
              <w:rPr>
                <w:rFonts w:ascii="VIC" w:hAnsi="VIC"/>
                <w:sz w:val="18"/>
                <w:szCs w:val="18"/>
              </w:rPr>
            </w:pPr>
            <w:r w:rsidRPr="001E2423">
              <w:rPr>
                <w:rFonts w:ascii="VIC" w:eastAsia="Verdana" w:hAnsi="VIC"/>
                <w:color w:val="000000"/>
                <w:sz w:val="18"/>
                <w:szCs w:val="18"/>
              </w:rPr>
              <w:t>6.5</w:t>
            </w:r>
          </w:p>
        </w:tc>
        <w:tc>
          <w:tcPr>
            <w:tcW w:w="1109" w:type="dxa"/>
            <w:shd w:val="clear" w:color="auto" w:fill="auto"/>
          </w:tcPr>
          <w:p w14:paraId="29C1CA0B" w14:textId="36DCC545"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shd w:val="clear" w:color="auto" w:fill="auto"/>
          </w:tcPr>
          <w:p w14:paraId="0A70D999" w14:textId="6FC5CFFA" w:rsidR="00AC5C83" w:rsidRPr="00BF031D" w:rsidRDefault="00AC5C83" w:rsidP="00AC5C83">
            <w:pPr>
              <w:jc w:val="center"/>
              <w:rPr>
                <w:rFonts w:ascii="VIC" w:hAnsi="VIC"/>
                <w:sz w:val="18"/>
                <w:szCs w:val="18"/>
              </w:rPr>
            </w:pPr>
            <w:r w:rsidRPr="001E2423">
              <w:rPr>
                <w:rFonts w:ascii="VIC" w:eastAsia="Verdana" w:hAnsi="VIC"/>
                <w:color w:val="000000"/>
                <w:sz w:val="18"/>
                <w:szCs w:val="18"/>
              </w:rPr>
              <w:t>16.6</w:t>
            </w:r>
          </w:p>
        </w:tc>
        <w:tc>
          <w:tcPr>
            <w:tcW w:w="1108" w:type="dxa"/>
            <w:shd w:val="clear" w:color="auto" w:fill="auto"/>
          </w:tcPr>
          <w:p w14:paraId="26586EA4" w14:textId="346979CC" w:rsidR="00AC5C83" w:rsidRPr="00BF031D" w:rsidRDefault="00AC5C83" w:rsidP="00AC5C83">
            <w:pPr>
              <w:jc w:val="center"/>
              <w:rPr>
                <w:rFonts w:ascii="VIC" w:hAnsi="VIC"/>
                <w:sz w:val="18"/>
                <w:szCs w:val="18"/>
              </w:rPr>
            </w:pPr>
            <w:r w:rsidRPr="001E2423">
              <w:rPr>
                <w:rFonts w:ascii="VIC" w:eastAsia="Verdana" w:hAnsi="VIC"/>
                <w:color w:val="000000"/>
                <w:sz w:val="18"/>
                <w:szCs w:val="18"/>
              </w:rPr>
              <w:t>46 %</w:t>
            </w:r>
          </w:p>
        </w:tc>
        <w:tc>
          <w:tcPr>
            <w:tcW w:w="1108" w:type="dxa"/>
            <w:shd w:val="clear" w:color="auto" w:fill="auto"/>
          </w:tcPr>
          <w:p w14:paraId="29995BED" w14:textId="353DDBA3" w:rsidR="00AC5C83" w:rsidRPr="00BF031D" w:rsidRDefault="00AC5C83" w:rsidP="00AC5C83">
            <w:pPr>
              <w:jc w:val="center"/>
              <w:rPr>
                <w:rFonts w:ascii="VIC" w:hAnsi="VIC"/>
                <w:sz w:val="18"/>
                <w:szCs w:val="18"/>
              </w:rPr>
            </w:pPr>
            <w:r w:rsidRPr="001E2423">
              <w:rPr>
                <w:rFonts w:ascii="VIC" w:eastAsia="Verdana" w:hAnsi="VIC"/>
                <w:color w:val="000000"/>
                <w:sz w:val="18"/>
                <w:szCs w:val="18"/>
              </w:rPr>
              <w:t>36 %</w:t>
            </w:r>
          </w:p>
        </w:tc>
        <w:tc>
          <w:tcPr>
            <w:tcW w:w="1108" w:type="dxa"/>
            <w:shd w:val="clear" w:color="auto" w:fill="auto"/>
          </w:tcPr>
          <w:p w14:paraId="7B685E79" w14:textId="596736AB" w:rsidR="00AC5C83" w:rsidRPr="00BF031D" w:rsidRDefault="00AC5C83" w:rsidP="00AC5C83">
            <w:pPr>
              <w:jc w:val="center"/>
              <w:rPr>
                <w:rFonts w:ascii="VIC" w:hAnsi="VIC"/>
                <w:sz w:val="18"/>
                <w:szCs w:val="18"/>
              </w:rPr>
            </w:pPr>
            <w:r w:rsidRPr="001E2423">
              <w:rPr>
                <w:rFonts w:ascii="VIC" w:eastAsia="Verdana" w:hAnsi="VIC"/>
                <w:color w:val="000000"/>
                <w:sz w:val="18"/>
                <w:szCs w:val="18"/>
              </w:rPr>
              <w:t>1.4</w:t>
            </w:r>
          </w:p>
        </w:tc>
        <w:tc>
          <w:tcPr>
            <w:tcW w:w="1109" w:type="dxa"/>
            <w:shd w:val="clear" w:color="auto" w:fill="auto"/>
          </w:tcPr>
          <w:p w14:paraId="6DFD3DD1" w14:textId="5DBE21E4" w:rsidR="00AC5C83" w:rsidRPr="00BF031D" w:rsidRDefault="00AC5C83" w:rsidP="00AC5C83">
            <w:pPr>
              <w:jc w:val="center"/>
              <w:rPr>
                <w:rFonts w:ascii="VIC" w:hAnsi="VIC"/>
                <w:sz w:val="18"/>
                <w:szCs w:val="18"/>
              </w:rPr>
            </w:pPr>
            <w:r w:rsidRPr="001E2423">
              <w:rPr>
                <w:rFonts w:ascii="VIC" w:eastAsia="Verdana" w:hAnsi="VIC"/>
                <w:color w:val="000000"/>
                <w:sz w:val="18"/>
                <w:szCs w:val="18"/>
              </w:rPr>
              <w:t>20 %</w:t>
            </w:r>
          </w:p>
        </w:tc>
      </w:tr>
      <w:tr w:rsidR="00AC5C83" w:rsidRPr="00BF031D" w14:paraId="139B7AF6" w14:textId="77777777" w:rsidTr="009D3084">
        <w:trPr>
          <w:trHeight w:val="454"/>
        </w:trPr>
        <w:tc>
          <w:tcPr>
            <w:tcW w:w="1570" w:type="dxa"/>
            <w:shd w:val="clear" w:color="auto" w:fill="BFCED6"/>
          </w:tcPr>
          <w:p w14:paraId="619D4519" w14:textId="0EBCA02F"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Eastern Health</w:t>
            </w:r>
          </w:p>
        </w:tc>
        <w:tc>
          <w:tcPr>
            <w:tcW w:w="1985" w:type="dxa"/>
            <w:shd w:val="clear" w:color="auto" w:fill="BFCED6"/>
          </w:tcPr>
          <w:p w14:paraId="6970BA2E" w14:textId="12DE42DB"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Eastern CYMHS</w:t>
            </w:r>
          </w:p>
        </w:tc>
        <w:tc>
          <w:tcPr>
            <w:tcW w:w="1108" w:type="dxa"/>
            <w:shd w:val="clear" w:color="auto" w:fill="BFCED6"/>
          </w:tcPr>
          <w:p w14:paraId="24A35858" w14:textId="63127C9C"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shd w:val="clear" w:color="auto" w:fill="BFCED6"/>
          </w:tcPr>
          <w:p w14:paraId="2980F572" w14:textId="4E5EB9F2" w:rsidR="00AC5C83" w:rsidRPr="00BF031D" w:rsidRDefault="00AC5C83" w:rsidP="00AC5C83">
            <w:pPr>
              <w:jc w:val="center"/>
              <w:rPr>
                <w:rFonts w:ascii="VIC" w:hAnsi="VIC"/>
                <w:sz w:val="18"/>
                <w:szCs w:val="18"/>
              </w:rPr>
            </w:pPr>
            <w:r w:rsidRPr="001E2423">
              <w:rPr>
                <w:rFonts w:ascii="VIC" w:eastAsia="Verdana" w:hAnsi="VIC"/>
                <w:color w:val="000000"/>
                <w:sz w:val="18"/>
                <w:szCs w:val="18"/>
              </w:rPr>
              <w:t>92 %</w:t>
            </w:r>
          </w:p>
        </w:tc>
        <w:tc>
          <w:tcPr>
            <w:tcW w:w="1108" w:type="dxa"/>
            <w:shd w:val="clear" w:color="auto" w:fill="BFCED6"/>
          </w:tcPr>
          <w:p w14:paraId="5354E935" w14:textId="462C31CD" w:rsidR="00AC5C83" w:rsidRPr="00BF031D" w:rsidRDefault="00AC5C83" w:rsidP="00AC5C83">
            <w:pPr>
              <w:jc w:val="center"/>
              <w:rPr>
                <w:rFonts w:ascii="VIC" w:hAnsi="VIC"/>
                <w:sz w:val="18"/>
                <w:szCs w:val="18"/>
              </w:rPr>
            </w:pPr>
            <w:r w:rsidRPr="001E2423">
              <w:rPr>
                <w:rFonts w:ascii="VIC" w:eastAsia="Verdana" w:hAnsi="VIC"/>
                <w:color w:val="000000"/>
                <w:sz w:val="18"/>
                <w:szCs w:val="18"/>
              </w:rPr>
              <w:t>12 %</w:t>
            </w:r>
          </w:p>
        </w:tc>
        <w:tc>
          <w:tcPr>
            <w:tcW w:w="1108" w:type="dxa"/>
            <w:shd w:val="clear" w:color="auto" w:fill="BFCED6"/>
          </w:tcPr>
          <w:p w14:paraId="7B838B70" w14:textId="37E5E3D7" w:rsidR="00AC5C83" w:rsidRPr="00BF031D" w:rsidRDefault="00AC5C83" w:rsidP="00AC5C83">
            <w:pPr>
              <w:jc w:val="center"/>
              <w:rPr>
                <w:rFonts w:ascii="VIC" w:hAnsi="VIC"/>
                <w:sz w:val="18"/>
                <w:szCs w:val="18"/>
              </w:rPr>
            </w:pPr>
            <w:r w:rsidRPr="001E2423">
              <w:rPr>
                <w:rFonts w:ascii="VIC" w:eastAsia="Verdana" w:hAnsi="VIC"/>
                <w:color w:val="000000"/>
                <w:sz w:val="18"/>
                <w:szCs w:val="18"/>
              </w:rPr>
              <w:t>304.9</w:t>
            </w:r>
          </w:p>
        </w:tc>
        <w:tc>
          <w:tcPr>
            <w:tcW w:w="1108" w:type="dxa"/>
            <w:shd w:val="clear" w:color="auto" w:fill="BFCED6"/>
          </w:tcPr>
          <w:p w14:paraId="00894B31" w14:textId="2454BBC7" w:rsidR="00AC5C83" w:rsidRPr="00BF031D" w:rsidRDefault="00AC5C83" w:rsidP="00AC5C83">
            <w:pPr>
              <w:jc w:val="center"/>
              <w:rPr>
                <w:rFonts w:ascii="VIC" w:hAnsi="VIC"/>
                <w:sz w:val="18"/>
                <w:szCs w:val="18"/>
              </w:rPr>
            </w:pPr>
            <w:r w:rsidRPr="001E2423">
              <w:rPr>
                <w:rFonts w:ascii="VIC" w:eastAsia="Verdana" w:hAnsi="VIC"/>
                <w:color w:val="000000"/>
                <w:sz w:val="18"/>
                <w:szCs w:val="18"/>
              </w:rPr>
              <w:t>10.0</w:t>
            </w:r>
          </w:p>
        </w:tc>
        <w:tc>
          <w:tcPr>
            <w:tcW w:w="1109" w:type="dxa"/>
            <w:shd w:val="clear" w:color="auto" w:fill="BFCED6"/>
          </w:tcPr>
          <w:p w14:paraId="2E1641E3" w14:textId="65B95B2A" w:rsidR="00AC5C83" w:rsidRPr="00BF031D" w:rsidRDefault="00AC5C83" w:rsidP="00AC5C83">
            <w:pPr>
              <w:jc w:val="center"/>
              <w:rPr>
                <w:rFonts w:ascii="VIC" w:hAnsi="VIC"/>
                <w:sz w:val="18"/>
                <w:szCs w:val="18"/>
              </w:rPr>
            </w:pPr>
            <w:r w:rsidRPr="001E2423">
              <w:rPr>
                <w:rFonts w:ascii="VIC" w:eastAsia="Verdana" w:hAnsi="VIC"/>
                <w:color w:val="000000"/>
                <w:sz w:val="18"/>
                <w:szCs w:val="18"/>
              </w:rPr>
              <w:t>84 %</w:t>
            </w:r>
          </w:p>
        </w:tc>
        <w:tc>
          <w:tcPr>
            <w:tcW w:w="1108" w:type="dxa"/>
            <w:shd w:val="clear" w:color="auto" w:fill="BFCED6"/>
          </w:tcPr>
          <w:p w14:paraId="26EA65F4" w14:textId="663A1DBB" w:rsidR="00AC5C83" w:rsidRPr="00BF031D" w:rsidRDefault="00AC5C83" w:rsidP="00AC5C83">
            <w:pPr>
              <w:jc w:val="center"/>
              <w:rPr>
                <w:rFonts w:ascii="VIC" w:hAnsi="VIC"/>
                <w:sz w:val="18"/>
                <w:szCs w:val="18"/>
              </w:rPr>
            </w:pPr>
            <w:r w:rsidRPr="001E2423">
              <w:rPr>
                <w:rFonts w:ascii="VIC" w:eastAsia="Verdana" w:hAnsi="VIC"/>
                <w:color w:val="000000"/>
                <w:sz w:val="18"/>
                <w:szCs w:val="18"/>
              </w:rPr>
              <w:t>19.1</w:t>
            </w:r>
          </w:p>
        </w:tc>
        <w:tc>
          <w:tcPr>
            <w:tcW w:w="1108" w:type="dxa"/>
            <w:shd w:val="clear" w:color="auto" w:fill="BFCED6"/>
          </w:tcPr>
          <w:p w14:paraId="0956015F" w14:textId="5D238C2E" w:rsidR="00AC5C83" w:rsidRPr="00BF031D" w:rsidRDefault="00AC5C83" w:rsidP="00AC5C83">
            <w:pPr>
              <w:jc w:val="center"/>
              <w:rPr>
                <w:rFonts w:ascii="VIC" w:hAnsi="VIC"/>
                <w:sz w:val="18"/>
                <w:szCs w:val="18"/>
              </w:rPr>
            </w:pPr>
            <w:r w:rsidRPr="001E2423">
              <w:rPr>
                <w:rFonts w:ascii="VIC" w:eastAsia="Verdana" w:hAnsi="VIC"/>
                <w:color w:val="000000"/>
                <w:sz w:val="18"/>
                <w:szCs w:val="18"/>
              </w:rPr>
              <w:t>50 %</w:t>
            </w:r>
          </w:p>
        </w:tc>
        <w:tc>
          <w:tcPr>
            <w:tcW w:w="1108" w:type="dxa"/>
            <w:shd w:val="clear" w:color="auto" w:fill="BFCED6"/>
          </w:tcPr>
          <w:p w14:paraId="437F4C6D" w14:textId="3476117F" w:rsidR="00AC5C83" w:rsidRPr="00BF031D" w:rsidRDefault="00AC5C83" w:rsidP="00AC5C83">
            <w:pPr>
              <w:jc w:val="center"/>
              <w:rPr>
                <w:rFonts w:ascii="VIC" w:hAnsi="VIC"/>
                <w:sz w:val="18"/>
                <w:szCs w:val="18"/>
              </w:rPr>
            </w:pPr>
            <w:r w:rsidRPr="001E2423">
              <w:rPr>
                <w:rFonts w:ascii="VIC" w:eastAsia="Verdana" w:hAnsi="VIC"/>
                <w:color w:val="000000"/>
                <w:sz w:val="18"/>
                <w:szCs w:val="18"/>
              </w:rPr>
              <w:t>46 %</w:t>
            </w:r>
          </w:p>
        </w:tc>
        <w:tc>
          <w:tcPr>
            <w:tcW w:w="1108" w:type="dxa"/>
            <w:shd w:val="clear" w:color="auto" w:fill="BFCED6"/>
          </w:tcPr>
          <w:p w14:paraId="05A3C88E" w14:textId="3AB566C5" w:rsidR="00AC5C83" w:rsidRPr="00BF031D" w:rsidRDefault="00AC5C83" w:rsidP="00AC5C83">
            <w:pPr>
              <w:jc w:val="center"/>
              <w:rPr>
                <w:rFonts w:ascii="VIC" w:hAnsi="VIC"/>
                <w:sz w:val="18"/>
                <w:szCs w:val="18"/>
              </w:rPr>
            </w:pPr>
            <w:r w:rsidRPr="001E2423">
              <w:rPr>
                <w:rFonts w:ascii="VIC" w:eastAsia="Verdana" w:hAnsi="VIC"/>
                <w:color w:val="000000"/>
                <w:sz w:val="18"/>
                <w:szCs w:val="18"/>
              </w:rPr>
              <w:t>1.2</w:t>
            </w:r>
          </w:p>
        </w:tc>
        <w:tc>
          <w:tcPr>
            <w:tcW w:w="1109" w:type="dxa"/>
            <w:shd w:val="clear" w:color="auto" w:fill="BFCED6"/>
          </w:tcPr>
          <w:p w14:paraId="7751AE5F" w14:textId="618CC981" w:rsidR="00AC5C83" w:rsidRPr="00BF031D" w:rsidRDefault="00AC5C83" w:rsidP="00AC5C83">
            <w:pPr>
              <w:jc w:val="center"/>
              <w:rPr>
                <w:rFonts w:ascii="VIC" w:hAnsi="VIC"/>
                <w:sz w:val="18"/>
                <w:szCs w:val="18"/>
              </w:rPr>
            </w:pPr>
            <w:r w:rsidRPr="001E2423">
              <w:rPr>
                <w:rFonts w:ascii="VIC" w:eastAsia="Verdana" w:hAnsi="VIC"/>
                <w:color w:val="000000"/>
                <w:sz w:val="18"/>
                <w:szCs w:val="18"/>
              </w:rPr>
              <w:t>22 %</w:t>
            </w:r>
          </w:p>
        </w:tc>
      </w:tr>
      <w:tr w:rsidR="00AC5C83" w:rsidRPr="00BF031D" w14:paraId="47C55679" w14:textId="77777777" w:rsidTr="009D3084">
        <w:trPr>
          <w:trHeight w:val="454"/>
        </w:trPr>
        <w:tc>
          <w:tcPr>
            <w:tcW w:w="1570" w:type="dxa"/>
            <w:shd w:val="clear" w:color="auto" w:fill="auto"/>
          </w:tcPr>
          <w:p w14:paraId="4EC8DA00" w14:textId="3E86B070"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Melbourne Health</w:t>
            </w:r>
          </w:p>
        </w:tc>
        <w:tc>
          <w:tcPr>
            <w:tcW w:w="1985" w:type="dxa"/>
            <w:shd w:val="clear" w:color="auto" w:fill="auto"/>
          </w:tcPr>
          <w:p w14:paraId="0A601968" w14:textId="32FD1294"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Orygen Youth Health</w:t>
            </w:r>
          </w:p>
        </w:tc>
        <w:tc>
          <w:tcPr>
            <w:tcW w:w="1108" w:type="dxa"/>
            <w:shd w:val="clear" w:color="auto" w:fill="auto"/>
          </w:tcPr>
          <w:p w14:paraId="23BB515F" w14:textId="16EDF54F" w:rsidR="00AC5C83" w:rsidRPr="00BF031D" w:rsidRDefault="00AC5C83" w:rsidP="00AC5C83">
            <w:pPr>
              <w:jc w:val="center"/>
              <w:rPr>
                <w:rFonts w:ascii="VIC" w:hAnsi="VIC"/>
                <w:sz w:val="18"/>
                <w:szCs w:val="18"/>
              </w:rPr>
            </w:pPr>
          </w:p>
        </w:tc>
        <w:tc>
          <w:tcPr>
            <w:tcW w:w="1108" w:type="dxa"/>
            <w:shd w:val="clear" w:color="auto" w:fill="auto"/>
          </w:tcPr>
          <w:p w14:paraId="642D71E4" w14:textId="3637D4DD" w:rsidR="00AC5C83" w:rsidRPr="00BF031D" w:rsidRDefault="00AC5C83" w:rsidP="00AC5C83">
            <w:pPr>
              <w:jc w:val="center"/>
              <w:rPr>
                <w:rFonts w:ascii="VIC" w:hAnsi="VIC"/>
                <w:sz w:val="18"/>
                <w:szCs w:val="18"/>
              </w:rPr>
            </w:pPr>
          </w:p>
        </w:tc>
        <w:tc>
          <w:tcPr>
            <w:tcW w:w="1108" w:type="dxa"/>
          </w:tcPr>
          <w:p w14:paraId="3E772380" w14:textId="744F96B9"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tcPr>
          <w:p w14:paraId="7B99C003" w14:textId="00D81D12" w:rsidR="00AC5C83" w:rsidRPr="00BF031D" w:rsidRDefault="00AC5C83" w:rsidP="00AC5C83">
            <w:pPr>
              <w:jc w:val="center"/>
              <w:rPr>
                <w:rFonts w:ascii="VIC" w:hAnsi="VIC"/>
                <w:sz w:val="18"/>
                <w:szCs w:val="18"/>
              </w:rPr>
            </w:pPr>
            <w:r w:rsidRPr="001E2423">
              <w:rPr>
                <w:rFonts w:ascii="VIC" w:eastAsia="Verdana" w:hAnsi="VIC"/>
                <w:color w:val="000000"/>
                <w:sz w:val="18"/>
                <w:szCs w:val="18"/>
              </w:rPr>
              <w:t>5.1</w:t>
            </w:r>
          </w:p>
        </w:tc>
        <w:tc>
          <w:tcPr>
            <w:tcW w:w="1108" w:type="dxa"/>
          </w:tcPr>
          <w:p w14:paraId="54681D1D" w14:textId="1276E2EA" w:rsidR="00AC5C83" w:rsidRPr="00BF031D" w:rsidRDefault="00AC5C83" w:rsidP="00AC5C83">
            <w:pPr>
              <w:jc w:val="center"/>
              <w:rPr>
                <w:rFonts w:ascii="VIC" w:hAnsi="VIC"/>
                <w:sz w:val="18"/>
                <w:szCs w:val="18"/>
              </w:rPr>
            </w:pPr>
            <w:r w:rsidRPr="001E2423">
              <w:rPr>
                <w:rFonts w:ascii="VIC" w:eastAsia="Verdana" w:hAnsi="VIC"/>
                <w:color w:val="000000"/>
                <w:sz w:val="18"/>
                <w:szCs w:val="18"/>
              </w:rPr>
              <w:t>0.0</w:t>
            </w:r>
          </w:p>
        </w:tc>
        <w:tc>
          <w:tcPr>
            <w:tcW w:w="1109" w:type="dxa"/>
            <w:shd w:val="clear" w:color="auto" w:fill="auto"/>
          </w:tcPr>
          <w:p w14:paraId="3931BC46" w14:textId="7748B33F" w:rsidR="00AC5C83" w:rsidRPr="00BF031D" w:rsidRDefault="00AC5C83" w:rsidP="00AC5C83">
            <w:pPr>
              <w:jc w:val="center"/>
              <w:rPr>
                <w:rFonts w:ascii="VIC" w:hAnsi="VIC"/>
                <w:sz w:val="18"/>
                <w:szCs w:val="18"/>
              </w:rPr>
            </w:pPr>
          </w:p>
        </w:tc>
        <w:tc>
          <w:tcPr>
            <w:tcW w:w="1108" w:type="dxa"/>
            <w:shd w:val="clear" w:color="auto" w:fill="auto"/>
          </w:tcPr>
          <w:p w14:paraId="4410A1FF" w14:textId="009BE263" w:rsidR="00AC5C83" w:rsidRPr="00BF031D" w:rsidRDefault="00AC5C83" w:rsidP="00AC5C83">
            <w:pPr>
              <w:jc w:val="center"/>
              <w:rPr>
                <w:rFonts w:ascii="VIC" w:hAnsi="VIC"/>
                <w:sz w:val="18"/>
                <w:szCs w:val="18"/>
              </w:rPr>
            </w:pPr>
          </w:p>
        </w:tc>
        <w:tc>
          <w:tcPr>
            <w:tcW w:w="1108" w:type="dxa"/>
            <w:shd w:val="clear" w:color="auto" w:fill="auto"/>
          </w:tcPr>
          <w:p w14:paraId="4D2381F0" w14:textId="33DB56C0" w:rsidR="00AC5C83" w:rsidRPr="00BF031D" w:rsidRDefault="00AC5C83" w:rsidP="00AC5C83">
            <w:pPr>
              <w:jc w:val="center"/>
              <w:rPr>
                <w:rFonts w:ascii="VIC" w:hAnsi="VIC"/>
                <w:sz w:val="18"/>
                <w:szCs w:val="18"/>
              </w:rPr>
            </w:pPr>
          </w:p>
        </w:tc>
        <w:tc>
          <w:tcPr>
            <w:tcW w:w="1108" w:type="dxa"/>
            <w:shd w:val="clear" w:color="auto" w:fill="auto"/>
          </w:tcPr>
          <w:p w14:paraId="663CA6E8" w14:textId="7369908D" w:rsidR="00AC5C83" w:rsidRPr="00BF031D" w:rsidRDefault="00AC5C83" w:rsidP="00AC5C83">
            <w:pPr>
              <w:jc w:val="center"/>
              <w:rPr>
                <w:rFonts w:ascii="VIC" w:hAnsi="VIC"/>
                <w:sz w:val="18"/>
                <w:szCs w:val="18"/>
              </w:rPr>
            </w:pPr>
          </w:p>
        </w:tc>
        <w:tc>
          <w:tcPr>
            <w:tcW w:w="1108" w:type="dxa"/>
            <w:shd w:val="clear" w:color="auto" w:fill="auto"/>
          </w:tcPr>
          <w:p w14:paraId="3FDC0080" w14:textId="75AC70A0" w:rsidR="00AC5C83" w:rsidRPr="00BF031D" w:rsidRDefault="00AC5C83" w:rsidP="00AC5C83">
            <w:pPr>
              <w:jc w:val="center"/>
              <w:rPr>
                <w:rFonts w:ascii="VIC" w:hAnsi="VIC"/>
                <w:sz w:val="18"/>
                <w:szCs w:val="18"/>
              </w:rPr>
            </w:pPr>
          </w:p>
        </w:tc>
        <w:tc>
          <w:tcPr>
            <w:tcW w:w="1109" w:type="dxa"/>
            <w:shd w:val="clear" w:color="auto" w:fill="auto"/>
          </w:tcPr>
          <w:p w14:paraId="760C0FC1" w14:textId="7649FB21" w:rsidR="00AC5C83" w:rsidRPr="00BF031D" w:rsidRDefault="00AC5C83" w:rsidP="00AC5C83">
            <w:pPr>
              <w:jc w:val="center"/>
              <w:rPr>
                <w:rFonts w:ascii="VIC" w:hAnsi="VIC"/>
                <w:sz w:val="18"/>
                <w:szCs w:val="18"/>
              </w:rPr>
            </w:pPr>
            <w:r w:rsidRPr="001E2423">
              <w:rPr>
                <w:rFonts w:ascii="VIC" w:eastAsia="Verdana" w:hAnsi="VIC"/>
                <w:color w:val="000000"/>
                <w:sz w:val="18"/>
                <w:szCs w:val="18"/>
              </w:rPr>
              <w:t>0 %</w:t>
            </w:r>
          </w:p>
        </w:tc>
      </w:tr>
      <w:tr w:rsidR="00AC5C83" w:rsidRPr="00BF031D" w14:paraId="668B03DC" w14:textId="77777777" w:rsidTr="009D3084">
        <w:trPr>
          <w:trHeight w:val="454"/>
        </w:trPr>
        <w:tc>
          <w:tcPr>
            <w:tcW w:w="1570" w:type="dxa"/>
            <w:shd w:val="clear" w:color="auto" w:fill="BFCED6"/>
          </w:tcPr>
          <w:p w14:paraId="7893476E" w14:textId="5A5DCF6A"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Monash Health</w:t>
            </w:r>
          </w:p>
        </w:tc>
        <w:tc>
          <w:tcPr>
            <w:tcW w:w="1985" w:type="dxa"/>
            <w:shd w:val="clear" w:color="auto" w:fill="BFCED6"/>
          </w:tcPr>
          <w:p w14:paraId="4528413E" w14:textId="5F96935F"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South Eastern (Monash CAMHS)</w:t>
            </w:r>
          </w:p>
        </w:tc>
        <w:tc>
          <w:tcPr>
            <w:tcW w:w="1108" w:type="dxa"/>
            <w:shd w:val="clear" w:color="auto" w:fill="BFCED6"/>
          </w:tcPr>
          <w:p w14:paraId="345BD226" w14:textId="61B2EC4D" w:rsidR="00AC5C83" w:rsidRPr="00BF031D" w:rsidRDefault="00AC5C83" w:rsidP="00AC5C83">
            <w:pPr>
              <w:jc w:val="center"/>
              <w:rPr>
                <w:rFonts w:ascii="VIC" w:hAnsi="VIC"/>
                <w:sz w:val="18"/>
                <w:szCs w:val="18"/>
              </w:rPr>
            </w:pPr>
            <w:r w:rsidRPr="001E2423">
              <w:rPr>
                <w:rFonts w:ascii="VIC" w:eastAsia="Verdana" w:hAnsi="VIC"/>
                <w:color w:val="000000"/>
                <w:sz w:val="18"/>
                <w:szCs w:val="18"/>
              </w:rPr>
              <w:t>44 %</w:t>
            </w:r>
          </w:p>
        </w:tc>
        <w:tc>
          <w:tcPr>
            <w:tcW w:w="1108" w:type="dxa"/>
            <w:shd w:val="clear" w:color="auto" w:fill="BFCED6"/>
          </w:tcPr>
          <w:p w14:paraId="4199C17D" w14:textId="74B051E0" w:rsidR="00AC5C83" w:rsidRPr="00BF031D" w:rsidRDefault="00AC5C83" w:rsidP="00AC5C83">
            <w:pPr>
              <w:jc w:val="center"/>
              <w:rPr>
                <w:rFonts w:ascii="VIC" w:hAnsi="VIC"/>
                <w:sz w:val="18"/>
                <w:szCs w:val="18"/>
              </w:rPr>
            </w:pPr>
            <w:r w:rsidRPr="001E2423">
              <w:rPr>
                <w:rFonts w:ascii="VIC" w:eastAsia="Verdana" w:hAnsi="VIC"/>
                <w:color w:val="000000"/>
                <w:sz w:val="18"/>
                <w:szCs w:val="18"/>
              </w:rPr>
              <w:t>96 %</w:t>
            </w:r>
          </w:p>
        </w:tc>
        <w:tc>
          <w:tcPr>
            <w:tcW w:w="1108" w:type="dxa"/>
            <w:shd w:val="clear" w:color="auto" w:fill="BFCED6"/>
          </w:tcPr>
          <w:p w14:paraId="42A0AF67" w14:textId="1E2F212C" w:rsidR="00AC5C83" w:rsidRPr="00BF031D" w:rsidRDefault="00AC5C83" w:rsidP="00AC5C83">
            <w:pPr>
              <w:jc w:val="center"/>
              <w:rPr>
                <w:rFonts w:ascii="VIC" w:hAnsi="VIC"/>
                <w:sz w:val="18"/>
                <w:szCs w:val="18"/>
              </w:rPr>
            </w:pPr>
            <w:r w:rsidRPr="001E2423">
              <w:rPr>
                <w:rFonts w:ascii="VIC" w:eastAsia="Verdana" w:hAnsi="VIC"/>
                <w:color w:val="000000"/>
                <w:sz w:val="18"/>
                <w:szCs w:val="18"/>
              </w:rPr>
              <w:t>10 %</w:t>
            </w:r>
          </w:p>
        </w:tc>
        <w:tc>
          <w:tcPr>
            <w:tcW w:w="1108" w:type="dxa"/>
            <w:shd w:val="clear" w:color="auto" w:fill="BFCED6"/>
          </w:tcPr>
          <w:p w14:paraId="2975D7D7" w14:textId="6E2D2B2E" w:rsidR="00AC5C83" w:rsidRPr="00BF031D" w:rsidRDefault="00AC5C83" w:rsidP="00AC5C83">
            <w:pPr>
              <w:jc w:val="center"/>
              <w:rPr>
                <w:rFonts w:ascii="VIC" w:hAnsi="VIC"/>
                <w:sz w:val="18"/>
                <w:szCs w:val="18"/>
              </w:rPr>
            </w:pPr>
            <w:r w:rsidRPr="001E2423">
              <w:rPr>
                <w:rFonts w:ascii="VIC" w:eastAsia="Verdana" w:hAnsi="VIC"/>
                <w:color w:val="000000"/>
                <w:sz w:val="18"/>
                <w:szCs w:val="18"/>
              </w:rPr>
              <w:t>166.9</w:t>
            </w:r>
          </w:p>
        </w:tc>
        <w:tc>
          <w:tcPr>
            <w:tcW w:w="1108" w:type="dxa"/>
            <w:shd w:val="clear" w:color="auto" w:fill="BFCED6"/>
          </w:tcPr>
          <w:p w14:paraId="28E60948" w14:textId="522FF3EF" w:rsidR="00AC5C83" w:rsidRPr="00BF031D" w:rsidRDefault="00AC5C83" w:rsidP="00AC5C83">
            <w:pPr>
              <w:jc w:val="center"/>
              <w:rPr>
                <w:rFonts w:ascii="VIC" w:hAnsi="VIC"/>
                <w:sz w:val="18"/>
                <w:szCs w:val="18"/>
              </w:rPr>
            </w:pPr>
            <w:r w:rsidRPr="001E2423">
              <w:rPr>
                <w:rFonts w:ascii="VIC" w:eastAsia="Verdana" w:hAnsi="VIC"/>
                <w:color w:val="000000"/>
                <w:sz w:val="18"/>
                <w:szCs w:val="18"/>
              </w:rPr>
              <w:t>4.9</w:t>
            </w:r>
          </w:p>
        </w:tc>
        <w:tc>
          <w:tcPr>
            <w:tcW w:w="1109" w:type="dxa"/>
            <w:shd w:val="clear" w:color="auto" w:fill="BFCED6"/>
          </w:tcPr>
          <w:p w14:paraId="1BFECF26" w14:textId="6EEF0602" w:rsidR="00AC5C83" w:rsidRPr="00BF031D" w:rsidRDefault="00AC5C83" w:rsidP="00AC5C83">
            <w:pPr>
              <w:jc w:val="center"/>
              <w:rPr>
                <w:rFonts w:ascii="VIC" w:hAnsi="VIC"/>
                <w:sz w:val="18"/>
                <w:szCs w:val="18"/>
              </w:rPr>
            </w:pPr>
            <w:r w:rsidRPr="001E2423">
              <w:rPr>
                <w:rFonts w:ascii="VIC" w:eastAsia="Verdana" w:hAnsi="VIC"/>
                <w:color w:val="000000"/>
                <w:sz w:val="18"/>
                <w:szCs w:val="18"/>
              </w:rPr>
              <w:t>92 %</w:t>
            </w:r>
          </w:p>
        </w:tc>
        <w:tc>
          <w:tcPr>
            <w:tcW w:w="1108" w:type="dxa"/>
            <w:shd w:val="clear" w:color="auto" w:fill="BFCED6"/>
          </w:tcPr>
          <w:p w14:paraId="195D9CEE" w14:textId="6F30DEA1" w:rsidR="00AC5C83" w:rsidRPr="00BF031D" w:rsidRDefault="00AC5C83" w:rsidP="00AC5C83">
            <w:pPr>
              <w:jc w:val="center"/>
              <w:rPr>
                <w:rFonts w:ascii="VIC" w:hAnsi="VIC"/>
                <w:sz w:val="18"/>
                <w:szCs w:val="18"/>
              </w:rPr>
            </w:pPr>
            <w:r w:rsidRPr="001E2423">
              <w:rPr>
                <w:rFonts w:ascii="VIC" w:eastAsia="Verdana" w:hAnsi="VIC"/>
                <w:color w:val="000000"/>
                <w:sz w:val="18"/>
                <w:szCs w:val="18"/>
              </w:rPr>
              <w:t>16.1</w:t>
            </w:r>
          </w:p>
        </w:tc>
        <w:tc>
          <w:tcPr>
            <w:tcW w:w="1108" w:type="dxa"/>
            <w:shd w:val="clear" w:color="auto" w:fill="BFCED6"/>
          </w:tcPr>
          <w:p w14:paraId="375A0BD0" w14:textId="7978165C" w:rsidR="00AC5C83" w:rsidRPr="00BF031D" w:rsidRDefault="00AC5C83" w:rsidP="00AC5C83">
            <w:pPr>
              <w:jc w:val="center"/>
              <w:rPr>
                <w:rFonts w:ascii="VIC" w:hAnsi="VIC"/>
                <w:sz w:val="18"/>
                <w:szCs w:val="18"/>
              </w:rPr>
            </w:pPr>
            <w:r w:rsidRPr="001E2423">
              <w:rPr>
                <w:rFonts w:ascii="VIC" w:eastAsia="Verdana" w:hAnsi="VIC"/>
                <w:color w:val="000000"/>
                <w:sz w:val="18"/>
                <w:szCs w:val="18"/>
              </w:rPr>
              <w:t>42 %</w:t>
            </w:r>
          </w:p>
        </w:tc>
        <w:tc>
          <w:tcPr>
            <w:tcW w:w="1108" w:type="dxa"/>
            <w:shd w:val="clear" w:color="auto" w:fill="BFCED6"/>
          </w:tcPr>
          <w:p w14:paraId="1483EAA1" w14:textId="5BE75D5B" w:rsidR="00AC5C83" w:rsidRPr="00BF031D" w:rsidRDefault="00AC5C83" w:rsidP="00AC5C83">
            <w:pPr>
              <w:jc w:val="center"/>
              <w:rPr>
                <w:rFonts w:ascii="VIC" w:hAnsi="VIC"/>
                <w:sz w:val="18"/>
                <w:szCs w:val="18"/>
              </w:rPr>
            </w:pPr>
            <w:r w:rsidRPr="001E2423">
              <w:rPr>
                <w:rFonts w:ascii="VIC" w:eastAsia="Verdana" w:hAnsi="VIC"/>
                <w:color w:val="000000"/>
                <w:sz w:val="18"/>
                <w:szCs w:val="18"/>
              </w:rPr>
              <w:t>31 %</w:t>
            </w:r>
          </w:p>
        </w:tc>
        <w:tc>
          <w:tcPr>
            <w:tcW w:w="1108" w:type="dxa"/>
            <w:shd w:val="clear" w:color="auto" w:fill="BFCED6"/>
          </w:tcPr>
          <w:p w14:paraId="23CCE194" w14:textId="3EFFE949" w:rsidR="00AC5C83" w:rsidRPr="00BF031D" w:rsidRDefault="00AC5C83" w:rsidP="00AC5C83">
            <w:pPr>
              <w:jc w:val="center"/>
              <w:rPr>
                <w:rFonts w:ascii="VIC" w:hAnsi="VIC"/>
                <w:sz w:val="18"/>
                <w:szCs w:val="18"/>
              </w:rPr>
            </w:pPr>
            <w:r w:rsidRPr="001E2423">
              <w:rPr>
                <w:rFonts w:ascii="VIC" w:eastAsia="Verdana" w:hAnsi="VIC"/>
                <w:color w:val="000000"/>
                <w:sz w:val="18"/>
                <w:szCs w:val="18"/>
              </w:rPr>
              <w:t>1.0</w:t>
            </w:r>
          </w:p>
        </w:tc>
        <w:tc>
          <w:tcPr>
            <w:tcW w:w="1109" w:type="dxa"/>
            <w:shd w:val="clear" w:color="auto" w:fill="BFCED6"/>
          </w:tcPr>
          <w:p w14:paraId="05F6C25C" w14:textId="373253A8" w:rsidR="00AC5C83" w:rsidRPr="00BF031D" w:rsidRDefault="00AC5C83" w:rsidP="00AC5C83">
            <w:pPr>
              <w:jc w:val="center"/>
              <w:rPr>
                <w:rFonts w:ascii="VIC" w:hAnsi="VIC"/>
                <w:sz w:val="18"/>
                <w:szCs w:val="18"/>
              </w:rPr>
            </w:pPr>
            <w:r w:rsidRPr="001E2423">
              <w:rPr>
                <w:rFonts w:ascii="VIC" w:eastAsia="Verdana" w:hAnsi="VIC"/>
                <w:color w:val="000000"/>
                <w:sz w:val="18"/>
                <w:szCs w:val="18"/>
              </w:rPr>
              <w:t>28 %</w:t>
            </w:r>
          </w:p>
        </w:tc>
      </w:tr>
      <w:tr w:rsidR="00AC5C83" w:rsidRPr="00BF031D" w14:paraId="7B29C461" w14:textId="77777777" w:rsidTr="00D5403A">
        <w:trPr>
          <w:trHeight w:val="454"/>
        </w:trPr>
        <w:tc>
          <w:tcPr>
            <w:tcW w:w="1570" w:type="dxa"/>
            <w:shd w:val="clear" w:color="auto" w:fill="auto"/>
          </w:tcPr>
          <w:p w14:paraId="43F21BF3" w14:textId="056DAF8D" w:rsidR="00AC5C83" w:rsidRPr="00800844"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Royal Children's</w:t>
            </w:r>
          </w:p>
        </w:tc>
        <w:tc>
          <w:tcPr>
            <w:tcW w:w="1985" w:type="dxa"/>
            <w:shd w:val="clear" w:color="auto" w:fill="auto"/>
          </w:tcPr>
          <w:p w14:paraId="3A270E06" w14:textId="4CF2B067" w:rsidR="00AC5C83" w:rsidRPr="00800844"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North Western (RCH)</w:t>
            </w:r>
          </w:p>
        </w:tc>
        <w:tc>
          <w:tcPr>
            <w:tcW w:w="1108" w:type="dxa"/>
            <w:shd w:val="clear" w:color="auto" w:fill="auto"/>
          </w:tcPr>
          <w:p w14:paraId="0751C05E" w14:textId="0DA3EB2B" w:rsidR="00AC5C83" w:rsidRPr="00BF031D" w:rsidRDefault="00AC5C83" w:rsidP="00AC5C83">
            <w:pPr>
              <w:jc w:val="center"/>
              <w:rPr>
                <w:rFonts w:ascii="VIC" w:hAnsi="VIC"/>
                <w:sz w:val="18"/>
                <w:szCs w:val="18"/>
              </w:rPr>
            </w:pPr>
            <w:r w:rsidRPr="001E2423">
              <w:rPr>
                <w:rFonts w:ascii="VIC" w:eastAsia="Verdana" w:hAnsi="VIC"/>
                <w:color w:val="000000"/>
                <w:sz w:val="18"/>
                <w:szCs w:val="18"/>
              </w:rPr>
              <w:t>67 %</w:t>
            </w:r>
          </w:p>
        </w:tc>
        <w:tc>
          <w:tcPr>
            <w:tcW w:w="1108" w:type="dxa"/>
            <w:shd w:val="clear" w:color="auto" w:fill="auto"/>
          </w:tcPr>
          <w:p w14:paraId="664D94DD" w14:textId="5A1CA914" w:rsidR="00AC5C83" w:rsidRPr="00BF031D" w:rsidRDefault="00AC5C83" w:rsidP="00AC5C83">
            <w:pPr>
              <w:jc w:val="center"/>
              <w:rPr>
                <w:rFonts w:ascii="VIC" w:hAnsi="VIC"/>
                <w:sz w:val="18"/>
                <w:szCs w:val="18"/>
              </w:rPr>
            </w:pPr>
            <w:r w:rsidRPr="001E2423">
              <w:rPr>
                <w:rFonts w:ascii="VIC" w:eastAsia="Verdana" w:hAnsi="VIC"/>
                <w:color w:val="000000"/>
                <w:sz w:val="18"/>
                <w:szCs w:val="18"/>
              </w:rPr>
              <w:t>78 %</w:t>
            </w:r>
          </w:p>
        </w:tc>
        <w:tc>
          <w:tcPr>
            <w:tcW w:w="1108" w:type="dxa"/>
            <w:shd w:val="clear" w:color="auto" w:fill="auto"/>
          </w:tcPr>
          <w:p w14:paraId="4954BD66" w14:textId="4A4E637B" w:rsidR="00AC5C83" w:rsidRPr="00BF031D" w:rsidRDefault="00AC5C83" w:rsidP="00AC5C83">
            <w:pPr>
              <w:jc w:val="center"/>
              <w:rPr>
                <w:rFonts w:ascii="VIC" w:hAnsi="VIC"/>
                <w:sz w:val="18"/>
                <w:szCs w:val="18"/>
              </w:rPr>
            </w:pPr>
            <w:r w:rsidRPr="001E2423">
              <w:rPr>
                <w:rFonts w:ascii="VIC" w:eastAsia="Verdana" w:hAnsi="VIC"/>
                <w:color w:val="000000"/>
                <w:sz w:val="18"/>
                <w:szCs w:val="18"/>
              </w:rPr>
              <w:t>18 %</w:t>
            </w:r>
          </w:p>
        </w:tc>
        <w:tc>
          <w:tcPr>
            <w:tcW w:w="1108" w:type="dxa"/>
            <w:shd w:val="clear" w:color="auto" w:fill="auto"/>
          </w:tcPr>
          <w:p w14:paraId="52F2C719" w14:textId="2DBF8A21" w:rsidR="00AC5C83" w:rsidRPr="00BF031D" w:rsidRDefault="00AC5C83" w:rsidP="00AC5C83">
            <w:pPr>
              <w:jc w:val="center"/>
              <w:rPr>
                <w:rFonts w:ascii="VIC" w:hAnsi="VIC"/>
                <w:sz w:val="18"/>
                <w:szCs w:val="18"/>
              </w:rPr>
            </w:pPr>
            <w:r w:rsidRPr="001E2423">
              <w:rPr>
                <w:rFonts w:ascii="VIC" w:eastAsia="Verdana" w:hAnsi="VIC"/>
                <w:color w:val="000000"/>
                <w:sz w:val="18"/>
                <w:szCs w:val="18"/>
              </w:rPr>
              <w:t>166.9</w:t>
            </w:r>
          </w:p>
        </w:tc>
        <w:tc>
          <w:tcPr>
            <w:tcW w:w="1108" w:type="dxa"/>
            <w:shd w:val="clear" w:color="auto" w:fill="auto"/>
          </w:tcPr>
          <w:p w14:paraId="46CCEA24" w14:textId="5CEE4800" w:rsidR="00AC5C83" w:rsidRPr="00BF031D" w:rsidRDefault="00AC5C83" w:rsidP="00AC5C83">
            <w:pPr>
              <w:jc w:val="center"/>
              <w:rPr>
                <w:rFonts w:ascii="VIC" w:hAnsi="VIC"/>
                <w:sz w:val="18"/>
                <w:szCs w:val="18"/>
              </w:rPr>
            </w:pPr>
            <w:r w:rsidRPr="001E2423">
              <w:rPr>
                <w:rFonts w:ascii="VIC" w:eastAsia="Verdana" w:hAnsi="VIC"/>
                <w:color w:val="000000"/>
                <w:sz w:val="18"/>
                <w:szCs w:val="18"/>
              </w:rPr>
              <w:t>3.3</w:t>
            </w:r>
          </w:p>
        </w:tc>
        <w:tc>
          <w:tcPr>
            <w:tcW w:w="1109" w:type="dxa"/>
            <w:shd w:val="clear" w:color="auto" w:fill="auto"/>
          </w:tcPr>
          <w:p w14:paraId="3E3F3BAC" w14:textId="725A9A9E" w:rsidR="00AC5C83" w:rsidRPr="00BF031D" w:rsidRDefault="00AC5C83" w:rsidP="00AC5C83">
            <w:pPr>
              <w:jc w:val="center"/>
              <w:rPr>
                <w:rFonts w:ascii="VIC" w:hAnsi="VIC"/>
                <w:sz w:val="18"/>
                <w:szCs w:val="18"/>
              </w:rPr>
            </w:pPr>
            <w:r w:rsidRPr="001E2423">
              <w:rPr>
                <w:rFonts w:ascii="VIC" w:eastAsia="Verdana" w:hAnsi="VIC"/>
                <w:color w:val="000000"/>
                <w:sz w:val="18"/>
                <w:szCs w:val="18"/>
              </w:rPr>
              <w:t>87 %</w:t>
            </w:r>
          </w:p>
        </w:tc>
        <w:tc>
          <w:tcPr>
            <w:tcW w:w="1108" w:type="dxa"/>
            <w:shd w:val="clear" w:color="auto" w:fill="auto"/>
          </w:tcPr>
          <w:p w14:paraId="1AE11219" w14:textId="7B58AFEE" w:rsidR="00AC5C83" w:rsidRPr="00BF031D" w:rsidRDefault="00AC5C83" w:rsidP="00AC5C83">
            <w:pPr>
              <w:jc w:val="center"/>
              <w:rPr>
                <w:rFonts w:ascii="VIC" w:hAnsi="VIC"/>
                <w:sz w:val="18"/>
                <w:szCs w:val="18"/>
              </w:rPr>
            </w:pPr>
            <w:r w:rsidRPr="001E2423">
              <w:rPr>
                <w:rFonts w:ascii="VIC" w:eastAsia="Verdana" w:hAnsi="VIC"/>
                <w:color w:val="000000"/>
                <w:sz w:val="18"/>
                <w:szCs w:val="18"/>
              </w:rPr>
              <w:t>16.3</w:t>
            </w:r>
          </w:p>
        </w:tc>
        <w:tc>
          <w:tcPr>
            <w:tcW w:w="1108" w:type="dxa"/>
            <w:shd w:val="clear" w:color="auto" w:fill="auto"/>
          </w:tcPr>
          <w:p w14:paraId="4780100A" w14:textId="18F5884C" w:rsidR="00AC5C83" w:rsidRPr="00BF031D" w:rsidRDefault="00AC5C83" w:rsidP="00AC5C83">
            <w:pPr>
              <w:jc w:val="center"/>
              <w:rPr>
                <w:rFonts w:ascii="VIC" w:hAnsi="VIC"/>
                <w:sz w:val="18"/>
                <w:szCs w:val="18"/>
              </w:rPr>
            </w:pPr>
            <w:r w:rsidRPr="001E2423">
              <w:rPr>
                <w:rFonts w:ascii="VIC" w:eastAsia="Verdana" w:hAnsi="VIC"/>
                <w:color w:val="000000"/>
                <w:sz w:val="18"/>
                <w:szCs w:val="18"/>
              </w:rPr>
              <w:t>38 %</w:t>
            </w:r>
          </w:p>
        </w:tc>
        <w:tc>
          <w:tcPr>
            <w:tcW w:w="1108" w:type="dxa"/>
            <w:shd w:val="clear" w:color="auto" w:fill="auto"/>
          </w:tcPr>
          <w:p w14:paraId="16F42A00" w14:textId="5D41D6F7" w:rsidR="00AC5C83" w:rsidRPr="00BF031D" w:rsidRDefault="00AC5C83" w:rsidP="00AC5C83">
            <w:pPr>
              <w:jc w:val="center"/>
              <w:rPr>
                <w:rFonts w:ascii="VIC" w:hAnsi="VIC"/>
                <w:sz w:val="18"/>
                <w:szCs w:val="18"/>
              </w:rPr>
            </w:pPr>
            <w:r w:rsidRPr="001E2423">
              <w:rPr>
                <w:rFonts w:ascii="VIC" w:eastAsia="Verdana" w:hAnsi="VIC"/>
                <w:color w:val="000000"/>
                <w:sz w:val="18"/>
                <w:szCs w:val="18"/>
              </w:rPr>
              <w:t>58 %</w:t>
            </w:r>
          </w:p>
        </w:tc>
        <w:tc>
          <w:tcPr>
            <w:tcW w:w="1108" w:type="dxa"/>
            <w:shd w:val="clear" w:color="auto" w:fill="auto"/>
          </w:tcPr>
          <w:p w14:paraId="2FFBF7BA" w14:textId="6058663C" w:rsidR="00AC5C83" w:rsidRPr="00BF031D" w:rsidRDefault="00AC5C83" w:rsidP="00AC5C83">
            <w:pPr>
              <w:jc w:val="center"/>
              <w:rPr>
                <w:rFonts w:ascii="VIC" w:hAnsi="VIC"/>
                <w:sz w:val="18"/>
                <w:szCs w:val="18"/>
              </w:rPr>
            </w:pPr>
            <w:r w:rsidRPr="001E2423">
              <w:rPr>
                <w:rFonts w:ascii="VIC" w:eastAsia="Verdana" w:hAnsi="VIC"/>
                <w:color w:val="000000"/>
                <w:sz w:val="18"/>
                <w:szCs w:val="18"/>
              </w:rPr>
              <w:t>1.0</w:t>
            </w:r>
          </w:p>
        </w:tc>
        <w:tc>
          <w:tcPr>
            <w:tcW w:w="1109" w:type="dxa"/>
            <w:shd w:val="clear" w:color="auto" w:fill="auto"/>
          </w:tcPr>
          <w:p w14:paraId="705B571C" w14:textId="37015E5B" w:rsidR="00AC5C83" w:rsidRPr="00BF031D" w:rsidRDefault="00AC5C83" w:rsidP="00AC5C83">
            <w:pPr>
              <w:jc w:val="center"/>
              <w:rPr>
                <w:rFonts w:ascii="VIC" w:hAnsi="VIC"/>
                <w:sz w:val="18"/>
                <w:szCs w:val="18"/>
              </w:rPr>
            </w:pPr>
            <w:r w:rsidRPr="001E2423">
              <w:rPr>
                <w:rFonts w:ascii="VIC" w:eastAsia="Verdana" w:hAnsi="VIC"/>
                <w:color w:val="000000"/>
                <w:sz w:val="18"/>
                <w:szCs w:val="18"/>
              </w:rPr>
              <w:t>33 %</w:t>
            </w:r>
          </w:p>
        </w:tc>
      </w:tr>
      <w:tr w:rsidR="00AC5C83" w:rsidRPr="00AC5C83" w14:paraId="431F133C" w14:textId="77777777" w:rsidTr="009D3084">
        <w:trPr>
          <w:trHeight w:val="454"/>
        </w:trPr>
        <w:tc>
          <w:tcPr>
            <w:tcW w:w="1570" w:type="dxa"/>
            <w:shd w:val="clear" w:color="auto" w:fill="B1C9E8"/>
          </w:tcPr>
          <w:p w14:paraId="7E1FF0DA" w14:textId="35CC0D72"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TOTAL METRO</w:t>
            </w:r>
          </w:p>
        </w:tc>
        <w:tc>
          <w:tcPr>
            <w:tcW w:w="1985" w:type="dxa"/>
            <w:shd w:val="clear" w:color="auto" w:fill="B1C9E8"/>
          </w:tcPr>
          <w:p w14:paraId="2A67C48C" w14:textId="793A5A12"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 xml:space="preserve"> </w:t>
            </w:r>
          </w:p>
        </w:tc>
        <w:tc>
          <w:tcPr>
            <w:tcW w:w="1108" w:type="dxa"/>
            <w:shd w:val="clear" w:color="auto" w:fill="B1C9E8"/>
          </w:tcPr>
          <w:p w14:paraId="69EBF152" w14:textId="2CE4E646"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58 %</w:t>
            </w:r>
          </w:p>
        </w:tc>
        <w:tc>
          <w:tcPr>
            <w:tcW w:w="1108" w:type="dxa"/>
            <w:shd w:val="clear" w:color="auto" w:fill="B1C9E8"/>
          </w:tcPr>
          <w:p w14:paraId="1B95B50D" w14:textId="3D8FE171"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88 %</w:t>
            </w:r>
          </w:p>
        </w:tc>
        <w:tc>
          <w:tcPr>
            <w:tcW w:w="1108" w:type="dxa"/>
            <w:shd w:val="clear" w:color="auto" w:fill="B1C9E8"/>
          </w:tcPr>
          <w:p w14:paraId="594F7A87" w14:textId="4E946FB3"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15 %</w:t>
            </w:r>
          </w:p>
        </w:tc>
        <w:tc>
          <w:tcPr>
            <w:tcW w:w="1108" w:type="dxa"/>
            <w:shd w:val="clear" w:color="auto" w:fill="B1C9E8"/>
          </w:tcPr>
          <w:p w14:paraId="591C7FD5" w14:textId="748CA59A"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207.1</w:t>
            </w:r>
          </w:p>
        </w:tc>
        <w:tc>
          <w:tcPr>
            <w:tcW w:w="1108" w:type="dxa"/>
            <w:shd w:val="clear" w:color="auto" w:fill="B1C9E8"/>
          </w:tcPr>
          <w:p w14:paraId="3560F2B5" w14:textId="4680E7D3"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6.0</w:t>
            </w:r>
          </w:p>
        </w:tc>
        <w:tc>
          <w:tcPr>
            <w:tcW w:w="1109" w:type="dxa"/>
            <w:shd w:val="clear" w:color="auto" w:fill="B1C9E8"/>
          </w:tcPr>
          <w:p w14:paraId="634BEBE8" w14:textId="7136DD32"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81 %</w:t>
            </w:r>
          </w:p>
        </w:tc>
        <w:tc>
          <w:tcPr>
            <w:tcW w:w="1108" w:type="dxa"/>
            <w:shd w:val="clear" w:color="auto" w:fill="B1C9E8"/>
          </w:tcPr>
          <w:p w14:paraId="72A62188" w14:textId="41FC2FA9"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17.1</w:t>
            </w:r>
          </w:p>
        </w:tc>
        <w:tc>
          <w:tcPr>
            <w:tcW w:w="1108" w:type="dxa"/>
            <w:shd w:val="clear" w:color="auto" w:fill="B1C9E8"/>
          </w:tcPr>
          <w:p w14:paraId="6A616114" w14:textId="3102B338"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44 %</w:t>
            </w:r>
          </w:p>
        </w:tc>
        <w:tc>
          <w:tcPr>
            <w:tcW w:w="1108" w:type="dxa"/>
            <w:shd w:val="clear" w:color="auto" w:fill="B1C9E8"/>
          </w:tcPr>
          <w:p w14:paraId="34D63414" w14:textId="1FDD5DE6"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38 %</w:t>
            </w:r>
          </w:p>
        </w:tc>
        <w:tc>
          <w:tcPr>
            <w:tcW w:w="1108" w:type="dxa"/>
            <w:shd w:val="clear" w:color="auto" w:fill="B1C9E8"/>
          </w:tcPr>
          <w:p w14:paraId="1898A7C1" w14:textId="515FE4B3"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1.1</w:t>
            </w:r>
          </w:p>
        </w:tc>
        <w:tc>
          <w:tcPr>
            <w:tcW w:w="1109" w:type="dxa"/>
            <w:shd w:val="clear" w:color="auto" w:fill="B1C9E8"/>
          </w:tcPr>
          <w:p w14:paraId="33684B57" w14:textId="2664A5D7"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28 %</w:t>
            </w:r>
          </w:p>
        </w:tc>
      </w:tr>
      <w:tr w:rsidR="00AC5C83" w:rsidRPr="00BF031D" w14:paraId="517635B6" w14:textId="77777777" w:rsidTr="009D3084">
        <w:trPr>
          <w:trHeight w:val="454"/>
        </w:trPr>
        <w:tc>
          <w:tcPr>
            <w:tcW w:w="1570" w:type="dxa"/>
            <w:shd w:val="clear" w:color="auto" w:fill="BFCED6"/>
          </w:tcPr>
          <w:p w14:paraId="1A31BB57" w14:textId="383A979B"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Ballarat Health</w:t>
            </w:r>
          </w:p>
        </w:tc>
        <w:tc>
          <w:tcPr>
            <w:tcW w:w="1985" w:type="dxa"/>
            <w:shd w:val="clear" w:color="auto" w:fill="BFCED6"/>
          </w:tcPr>
          <w:p w14:paraId="00ECCA95" w14:textId="609BEDC1"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Grampians</w:t>
            </w:r>
          </w:p>
        </w:tc>
        <w:tc>
          <w:tcPr>
            <w:tcW w:w="1108" w:type="dxa"/>
            <w:shd w:val="clear" w:color="auto" w:fill="BFCED6"/>
          </w:tcPr>
          <w:p w14:paraId="17245EAB" w14:textId="79DF32D7" w:rsidR="00AC5C83" w:rsidRPr="00BF031D" w:rsidRDefault="00AC5C83" w:rsidP="00AC5C83">
            <w:pPr>
              <w:jc w:val="center"/>
              <w:rPr>
                <w:rFonts w:ascii="VIC" w:hAnsi="VIC"/>
                <w:sz w:val="18"/>
                <w:szCs w:val="18"/>
              </w:rPr>
            </w:pPr>
            <w:r w:rsidRPr="001E2423">
              <w:rPr>
                <w:rFonts w:ascii="VIC" w:eastAsia="Verdana" w:hAnsi="VIC"/>
                <w:color w:val="000000"/>
                <w:sz w:val="18"/>
                <w:szCs w:val="18"/>
              </w:rPr>
              <w:t>80 %</w:t>
            </w:r>
          </w:p>
        </w:tc>
        <w:tc>
          <w:tcPr>
            <w:tcW w:w="1108" w:type="dxa"/>
            <w:shd w:val="clear" w:color="auto" w:fill="BFCED6"/>
          </w:tcPr>
          <w:p w14:paraId="695083DC" w14:textId="77E43819" w:rsidR="00AC5C83" w:rsidRPr="00BF031D" w:rsidRDefault="00AC5C83" w:rsidP="00AC5C83">
            <w:pPr>
              <w:jc w:val="center"/>
              <w:rPr>
                <w:rFonts w:ascii="VIC" w:hAnsi="VIC"/>
                <w:sz w:val="18"/>
                <w:szCs w:val="18"/>
              </w:rPr>
            </w:pPr>
            <w:r w:rsidRPr="001E2423">
              <w:rPr>
                <w:rFonts w:ascii="VIC" w:eastAsia="Verdana" w:hAnsi="VIC"/>
                <w:color w:val="000000"/>
                <w:sz w:val="18"/>
                <w:szCs w:val="18"/>
              </w:rPr>
              <w:t>96 %</w:t>
            </w:r>
          </w:p>
        </w:tc>
        <w:tc>
          <w:tcPr>
            <w:tcW w:w="1108" w:type="dxa"/>
            <w:shd w:val="clear" w:color="auto" w:fill="BFCED6"/>
          </w:tcPr>
          <w:p w14:paraId="50DF8E09" w14:textId="519F7055" w:rsidR="00AC5C83" w:rsidRPr="00BF031D" w:rsidRDefault="00AC5C83" w:rsidP="00AC5C83">
            <w:pPr>
              <w:jc w:val="center"/>
              <w:rPr>
                <w:rFonts w:ascii="VIC" w:hAnsi="VIC"/>
                <w:sz w:val="18"/>
                <w:szCs w:val="18"/>
              </w:rPr>
            </w:pPr>
            <w:r w:rsidRPr="001E2423">
              <w:rPr>
                <w:rFonts w:ascii="VIC" w:eastAsia="Verdana" w:hAnsi="VIC"/>
                <w:color w:val="000000"/>
                <w:sz w:val="18"/>
                <w:szCs w:val="18"/>
              </w:rPr>
              <w:t>17 %</w:t>
            </w:r>
          </w:p>
        </w:tc>
        <w:tc>
          <w:tcPr>
            <w:tcW w:w="1108" w:type="dxa"/>
            <w:shd w:val="clear" w:color="auto" w:fill="BFCED6"/>
          </w:tcPr>
          <w:p w14:paraId="2B58E236" w14:textId="1CFE225A" w:rsidR="00AC5C83" w:rsidRPr="00BF031D" w:rsidRDefault="00AC5C83" w:rsidP="00AC5C83">
            <w:pPr>
              <w:jc w:val="center"/>
              <w:rPr>
                <w:rFonts w:ascii="VIC" w:hAnsi="VIC"/>
                <w:sz w:val="18"/>
                <w:szCs w:val="18"/>
              </w:rPr>
            </w:pPr>
            <w:r w:rsidRPr="001E2423">
              <w:rPr>
                <w:rFonts w:ascii="VIC" w:eastAsia="Verdana" w:hAnsi="VIC"/>
                <w:color w:val="000000"/>
                <w:sz w:val="18"/>
                <w:szCs w:val="18"/>
              </w:rPr>
              <w:t>193.1</w:t>
            </w:r>
          </w:p>
        </w:tc>
        <w:tc>
          <w:tcPr>
            <w:tcW w:w="1108" w:type="dxa"/>
            <w:shd w:val="clear" w:color="auto" w:fill="BFCED6"/>
          </w:tcPr>
          <w:p w14:paraId="0BEAFD86" w14:textId="1A95666A" w:rsidR="00AC5C83" w:rsidRPr="00BF031D" w:rsidRDefault="00AC5C83" w:rsidP="00AC5C83">
            <w:pPr>
              <w:jc w:val="center"/>
              <w:rPr>
                <w:rFonts w:ascii="VIC" w:hAnsi="VIC"/>
                <w:sz w:val="18"/>
                <w:szCs w:val="18"/>
              </w:rPr>
            </w:pPr>
            <w:r w:rsidRPr="001E2423">
              <w:rPr>
                <w:rFonts w:ascii="VIC" w:eastAsia="Verdana" w:hAnsi="VIC"/>
                <w:color w:val="000000"/>
                <w:sz w:val="18"/>
                <w:szCs w:val="18"/>
              </w:rPr>
              <w:t>6.5</w:t>
            </w:r>
          </w:p>
        </w:tc>
        <w:tc>
          <w:tcPr>
            <w:tcW w:w="1109" w:type="dxa"/>
            <w:shd w:val="clear" w:color="auto" w:fill="BFCED6"/>
          </w:tcPr>
          <w:p w14:paraId="510CB13B" w14:textId="789888DA"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shd w:val="clear" w:color="auto" w:fill="BFCED6"/>
          </w:tcPr>
          <w:p w14:paraId="6EF7FD12" w14:textId="075F74DF" w:rsidR="00AC5C83" w:rsidRPr="00BF031D" w:rsidRDefault="00AC5C83" w:rsidP="00AC5C83">
            <w:pPr>
              <w:jc w:val="center"/>
              <w:rPr>
                <w:rFonts w:ascii="VIC" w:hAnsi="VIC"/>
                <w:sz w:val="18"/>
                <w:szCs w:val="18"/>
              </w:rPr>
            </w:pPr>
            <w:r w:rsidRPr="001E2423">
              <w:rPr>
                <w:rFonts w:ascii="VIC" w:eastAsia="Verdana" w:hAnsi="VIC"/>
                <w:color w:val="000000"/>
                <w:sz w:val="18"/>
                <w:szCs w:val="18"/>
              </w:rPr>
              <w:t>15.7</w:t>
            </w:r>
          </w:p>
        </w:tc>
        <w:tc>
          <w:tcPr>
            <w:tcW w:w="1108" w:type="dxa"/>
            <w:shd w:val="clear" w:color="auto" w:fill="BFCED6"/>
          </w:tcPr>
          <w:p w14:paraId="3AB4972C" w14:textId="24600AC3" w:rsidR="00AC5C83" w:rsidRPr="00BF031D" w:rsidRDefault="00AC5C83" w:rsidP="00AC5C83">
            <w:pPr>
              <w:jc w:val="center"/>
              <w:rPr>
                <w:rFonts w:ascii="VIC" w:hAnsi="VIC"/>
                <w:sz w:val="18"/>
                <w:szCs w:val="18"/>
              </w:rPr>
            </w:pPr>
            <w:r w:rsidRPr="001E2423">
              <w:rPr>
                <w:rFonts w:ascii="VIC" w:eastAsia="Verdana" w:hAnsi="VIC"/>
                <w:color w:val="000000"/>
                <w:sz w:val="18"/>
                <w:szCs w:val="18"/>
              </w:rPr>
              <w:t>62 %</w:t>
            </w:r>
          </w:p>
        </w:tc>
        <w:tc>
          <w:tcPr>
            <w:tcW w:w="1108" w:type="dxa"/>
            <w:shd w:val="clear" w:color="auto" w:fill="BFCED6"/>
          </w:tcPr>
          <w:p w14:paraId="3D1841BC" w14:textId="21D1AC52" w:rsidR="00AC5C83" w:rsidRPr="00BF031D" w:rsidRDefault="00AC5C83" w:rsidP="00AC5C83">
            <w:pPr>
              <w:jc w:val="center"/>
              <w:rPr>
                <w:rFonts w:ascii="VIC" w:hAnsi="VIC"/>
                <w:sz w:val="18"/>
                <w:szCs w:val="18"/>
              </w:rPr>
            </w:pPr>
            <w:r w:rsidRPr="001E2423">
              <w:rPr>
                <w:rFonts w:ascii="VIC" w:eastAsia="Verdana" w:hAnsi="VIC"/>
                <w:color w:val="000000"/>
                <w:sz w:val="18"/>
                <w:szCs w:val="18"/>
              </w:rPr>
              <w:t>33 %</w:t>
            </w:r>
          </w:p>
        </w:tc>
        <w:tc>
          <w:tcPr>
            <w:tcW w:w="1108" w:type="dxa"/>
            <w:shd w:val="clear" w:color="auto" w:fill="BFCED6"/>
          </w:tcPr>
          <w:p w14:paraId="669E9F76" w14:textId="58C1DB70" w:rsidR="00AC5C83" w:rsidRPr="00BF031D" w:rsidRDefault="00AC5C83" w:rsidP="00AC5C83">
            <w:pPr>
              <w:jc w:val="center"/>
              <w:rPr>
                <w:rFonts w:ascii="VIC" w:hAnsi="VIC"/>
                <w:sz w:val="18"/>
                <w:szCs w:val="18"/>
              </w:rPr>
            </w:pPr>
            <w:r w:rsidRPr="001E2423">
              <w:rPr>
                <w:rFonts w:ascii="VIC" w:eastAsia="Verdana" w:hAnsi="VIC"/>
                <w:color w:val="000000"/>
                <w:sz w:val="18"/>
                <w:szCs w:val="18"/>
              </w:rPr>
              <w:t>2.1</w:t>
            </w:r>
          </w:p>
        </w:tc>
        <w:tc>
          <w:tcPr>
            <w:tcW w:w="1109" w:type="dxa"/>
            <w:shd w:val="clear" w:color="auto" w:fill="BFCED6"/>
          </w:tcPr>
          <w:p w14:paraId="6E586DB9" w14:textId="135865BB" w:rsidR="00AC5C83" w:rsidRPr="00BF031D" w:rsidRDefault="00AC5C83" w:rsidP="00AC5C83">
            <w:pPr>
              <w:jc w:val="center"/>
              <w:rPr>
                <w:rFonts w:ascii="VIC" w:hAnsi="VIC"/>
                <w:sz w:val="18"/>
                <w:szCs w:val="18"/>
              </w:rPr>
            </w:pPr>
            <w:r w:rsidRPr="001E2423">
              <w:rPr>
                <w:rFonts w:ascii="VIC" w:eastAsia="Verdana" w:hAnsi="VIC"/>
                <w:color w:val="000000"/>
                <w:sz w:val="18"/>
                <w:szCs w:val="18"/>
              </w:rPr>
              <w:t>32 %</w:t>
            </w:r>
          </w:p>
        </w:tc>
      </w:tr>
      <w:tr w:rsidR="00AC5C83" w:rsidRPr="00BF031D" w14:paraId="185B92F8" w14:textId="77777777" w:rsidTr="009D3084">
        <w:trPr>
          <w:trHeight w:val="454"/>
        </w:trPr>
        <w:tc>
          <w:tcPr>
            <w:tcW w:w="1570" w:type="dxa"/>
            <w:shd w:val="clear" w:color="auto" w:fill="auto"/>
          </w:tcPr>
          <w:p w14:paraId="3EF76959" w14:textId="51369CC0"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Barwon Health</w:t>
            </w:r>
          </w:p>
        </w:tc>
        <w:tc>
          <w:tcPr>
            <w:tcW w:w="1985" w:type="dxa"/>
            <w:shd w:val="clear" w:color="auto" w:fill="auto"/>
          </w:tcPr>
          <w:p w14:paraId="34915A31" w14:textId="1E5C0360"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Barwon</w:t>
            </w:r>
          </w:p>
        </w:tc>
        <w:tc>
          <w:tcPr>
            <w:tcW w:w="1108" w:type="dxa"/>
            <w:shd w:val="clear" w:color="auto" w:fill="auto"/>
          </w:tcPr>
          <w:p w14:paraId="473DE1FE" w14:textId="7F567190" w:rsidR="00AC5C83" w:rsidRPr="00BF031D" w:rsidRDefault="00AC5C83" w:rsidP="00AC5C83">
            <w:pPr>
              <w:jc w:val="center"/>
              <w:rPr>
                <w:rFonts w:ascii="VIC" w:hAnsi="VIC"/>
                <w:sz w:val="18"/>
                <w:szCs w:val="18"/>
              </w:rPr>
            </w:pPr>
            <w:r w:rsidRPr="001E2423">
              <w:rPr>
                <w:rFonts w:ascii="VIC" w:eastAsia="Verdana" w:hAnsi="VIC"/>
                <w:color w:val="000000"/>
                <w:sz w:val="18"/>
                <w:szCs w:val="18"/>
              </w:rPr>
              <w:t>55 %</w:t>
            </w:r>
          </w:p>
        </w:tc>
        <w:tc>
          <w:tcPr>
            <w:tcW w:w="1108" w:type="dxa"/>
            <w:shd w:val="clear" w:color="auto" w:fill="auto"/>
          </w:tcPr>
          <w:p w14:paraId="2C139F19" w14:textId="35AEC2C9" w:rsidR="00AC5C83" w:rsidRPr="00BF031D" w:rsidRDefault="00AC5C83" w:rsidP="00AC5C83">
            <w:pPr>
              <w:jc w:val="center"/>
              <w:rPr>
                <w:rFonts w:ascii="VIC" w:hAnsi="VIC"/>
                <w:sz w:val="18"/>
                <w:szCs w:val="18"/>
              </w:rPr>
            </w:pPr>
            <w:r w:rsidRPr="001E2423">
              <w:rPr>
                <w:rFonts w:ascii="VIC" w:eastAsia="Verdana" w:hAnsi="VIC"/>
                <w:color w:val="000000"/>
                <w:sz w:val="18"/>
                <w:szCs w:val="18"/>
              </w:rPr>
              <w:t>68 %</w:t>
            </w:r>
          </w:p>
        </w:tc>
        <w:tc>
          <w:tcPr>
            <w:tcW w:w="1108" w:type="dxa"/>
          </w:tcPr>
          <w:p w14:paraId="07CB430C" w14:textId="41E52C4C" w:rsidR="00AC5C83" w:rsidRPr="00BF031D" w:rsidRDefault="00AC5C83" w:rsidP="00AC5C83">
            <w:pPr>
              <w:jc w:val="center"/>
              <w:rPr>
                <w:rFonts w:ascii="VIC" w:hAnsi="VIC"/>
                <w:sz w:val="18"/>
                <w:szCs w:val="18"/>
              </w:rPr>
            </w:pPr>
            <w:r w:rsidRPr="001E2423">
              <w:rPr>
                <w:rFonts w:ascii="VIC" w:eastAsia="Verdana" w:hAnsi="VIC"/>
                <w:color w:val="000000"/>
                <w:sz w:val="18"/>
                <w:szCs w:val="18"/>
              </w:rPr>
              <w:t>4 %</w:t>
            </w:r>
          </w:p>
        </w:tc>
        <w:tc>
          <w:tcPr>
            <w:tcW w:w="1108" w:type="dxa"/>
          </w:tcPr>
          <w:p w14:paraId="1BD7E958" w14:textId="4B8E832B" w:rsidR="00AC5C83" w:rsidRPr="00BF031D" w:rsidRDefault="00AC5C83" w:rsidP="00AC5C83">
            <w:pPr>
              <w:jc w:val="center"/>
              <w:rPr>
                <w:rFonts w:ascii="VIC" w:hAnsi="VIC"/>
                <w:sz w:val="18"/>
                <w:szCs w:val="18"/>
              </w:rPr>
            </w:pPr>
            <w:r w:rsidRPr="001E2423">
              <w:rPr>
                <w:rFonts w:ascii="VIC" w:eastAsia="Verdana" w:hAnsi="VIC"/>
                <w:color w:val="000000"/>
                <w:sz w:val="18"/>
                <w:szCs w:val="18"/>
              </w:rPr>
              <w:t>360.7</w:t>
            </w:r>
          </w:p>
        </w:tc>
        <w:tc>
          <w:tcPr>
            <w:tcW w:w="1108" w:type="dxa"/>
          </w:tcPr>
          <w:p w14:paraId="451FA178" w14:textId="15D2EF8D" w:rsidR="00AC5C83" w:rsidRPr="00BF031D" w:rsidRDefault="00AC5C83" w:rsidP="00AC5C83">
            <w:pPr>
              <w:jc w:val="center"/>
              <w:rPr>
                <w:rFonts w:ascii="VIC" w:hAnsi="VIC"/>
                <w:sz w:val="18"/>
                <w:szCs w:val="18"/>
              </w:rPr>
            </w:pPr>
            <w:r w:rsidRPr="001E2423">
              <w:rPr>
                <w:rFonts w:ascii="VIC" w:eastAsia="Verdana" w:hAnsi="VIC"/>
                <w:color w:val="000000"/>
                <w:sz w:val="18"/>
                <w:szCs w:val="18"/>
              </w:rPr>
              <w:t>5.7</w:t>
            </w:r>
          </w:p>
        </w:tc>
        <w:tc>
          <w:tcPr>
            <w:tcW w:w="1109" w:type="dxa"/>
            <w:shd w:val="clear" w:color="auto" w:fill="auto"/>
          </w:tcPr>
          <w:p w14:paraId="698263E4" w14:textId="29287924" w:rsidR="00AC5C83" w:rsidRPr="00BF031D" w:rsidRDefault="00AC5C83" w:rsidP="00AC5C83">
            <w:pPr>
              <w:jc w:val="center"/>
              <w:rPr>
                <w:rFonts w:ascii="VIC" w:hAnsi="VIC"/>
                <w:sz w:val="18"/>
                <w:szCs w:val="18"/>
              </w:rPr>
            </w:pPr>
            <w:r w:rsidRPr="001E2423">
              <w:rPr>
                <w:rFonts w:ascii="VIC" w:eastAsia="Verdana" w:hAnsi="VIC"/>
                <w:color w:val="000000"/>
                <w:sz w:val="18"/>
                <w:szCs w:val="18"/>
              </w:rPr>
              <w:t>41 %</w:t>
            </w:r>
          </w:p>
        </w:tc>
        <w:tc>
          <w:tcPr>
            <w:tcW w:w="1108" w:type="dxa"/>
            <w:shd w:val="clear" w:color="auto" w:fill="auto"/>
          </w:tcPr>
          <w:p w14:paraId="4A3EFFDD" w14:textId="1E267B4C" w:rsidR="00AC5C83" w:rsidRPr="00BF031D" w:rsidRDefault="00AC5C83" w:rsidP="00AC5C83">
            <w:pPr>
              <w:jc w:val="center"/>
              <w:rPr>
                <w:rFonts w:ascii="VIC" w:hAnsi="VIC"/>
                <w:sz w:val="18"/>
                <w:szCs w:val="18"/>
              </w:rPr>
            </w:pPr>
            <w:r w:rsidRPr="001E2423">
              <w:rPr>
                <w:rFonts w:ascii="VIC" w:eastAsia="Verdana" w:hAnsi="VIC"/>
                <w:color w:val="000000"/>
                <w:sz w:val="18"/>
                <w:szCs w:val="18"/>
              </w:rPr>
              <w:t>17.5</w:t>
            </w:r>
          </w:p>
        </w:tc>
        <w:tc>
          <w:tcPr>
            <w:tcW w:w="1108" w:type="dxa"/>
            <w:shd w:val="clear" w:color="auto" w:fill="auto"/>
          </w:tcPr>
          <w:p w14:paraId="6DEA998C" w14:textId="622B958C" w:rsidR="00AC5C83" w:rsidRPr="00BF031D" w:rsidRDefault="00AC5C83" w:rsidP="00AC5C83">
            <w:pPr>
              <w:jc w:val="center"/>
              <w:rPr>
                <w:rFonts w:ascii="VIC" w:hAnsi="VIC"/>
                <w:sz w:val="18"/>
                <w:szCs w:val="18"/>
              </w:rPr>
            </w:pPr>
            <w:r w:rsidRPr="001E2423">
              <w:rPr>
                <w:rFonts w:ascii="VIC" w:eastAsia="Verdana" w:hAnsi="VIC"/>
                <w:color w:val="000000"/>
                <w:sz w:val="18"/>
                <w:szCs w:val="18"/>
              </w:rPr>
              <w:t>86 %</w:t>
            </w:r>
          </w:p>
        </w:tc>
        <w:tc>
          <w:tcPr>
            <w:tcW w:w="1108" w:type="dxa"/>
            <w:shd w:val="clear" w:color="auto" w:fill="auto"/>
          </w:tcPr>
          <w:p w14:paraId="5C118F03" w14:textId="6BB1DCB3" w:rsidR="00AC5C83" w:rsidRPr="00BF031D" w:rsidRDefault="00AC5C83" w:rsidP="00AC5C83">
            <w:pPr>
              <w:jc w:val="center"/>
              <w:rPr>
                <w:rFonts w:ascii="VIC" w:hAnsi="VIC"/>
                <w:sz w:val="18"/>
                <w:szCs w:val="18"/>
              </w:rPr>
            </w:pPr>
            <w:r w:rsidRPr="001E2423">
              <w:rPr>
                <w:rFonts w:ascii="VIC" w:eastAsia="Verdana" w:hAnsi="VIC"/>
                <w:color w:val="000000"/>
                <w:sz w:val="18"/>
                <w:szCs w:val="18"/>
              </w:rPr>
              <w:t>8 %</w:t>
            </w:r>
          </w:p>
        </w:tc>
        <w:tc>
          <w:tcPr>
            <w:tcW w:w="1108" w:type="dxa"/>
            <w:shd w:val="clear" w:color="auto" w:fill="auto"/>
          </w:tcPr>
          <w:p w14:paraId="28A8495F" w14:textId="63923085" w:rsidR="00AC5C83" w:rsidRPr="00BF031D" w:rsidRDefault="00AC5C83" w:rsidP="00AC5C83">
            <w:pPr>
              <w:jc w:val="center"/>
              <w:rPr>
                <w:rFonts w:ascii="VIC" w:hAnsi="VIC"/>
                <w:sz w:val="18"/>
                <w:szCs w:val="18"/>
              </w:rPr>
            </w:pPr>
            <w:r w:rsidRPr="001E2423">
              <w:rPr>
                <w:rFonts w:ascii="VIC" w:eastAsia="Verdana" w:hAnsi="VIC"/>
                <w:color w:val="000000"/>
                <w:sz w:val="18"/>
                <w:szCs w:val="18"/>
              </w:rPr>
              <w:t>2.4</w:t>
            </w:r>
          </w:p>
        </w:tc>
        <w:tc>
          <w:tcPr>
            <w:tcW w:w="1109" w:type="dxa"/>
            <w:shd w:val="clear" w:color="auto" w:fill="auto"/>
          </w:tcPr>
          <w:p w14:paraId="5B138ED6" w14:textId="440A8CD8" w:rsidR="00AC5C83" w:rsidRPr="00BF031D" w:rsidRDefault="00AC5C83" w:rsidP="00AC5C83">
            <w:pPr>
              <w:jc w:val="center"/>
              <w:rPr>
                <w:rFonts w:ascii="VIC" w:hAnsi="VIC"/>
                <w:sz w:val="18"/>
                <w:szCs w:val="18"/>
              </w:rPr>
            </w:pPr>
            <w:r w:rsidRPr="001E2423">
              <w:rPr>
                <w:rFonts w:ascii="VIC" w:eastAsia="Verdana" w:hAnsi="VIC"/>
                <w:color w:val="000000"/>
                <w:sz w:val="18"/>
                <w:szCs w:val="18"/>
              </w:rPr>
              <w:t>17 %</w:t>
            </w:r>
          </w:p>
        </w:tc>
      </w:tr>
      <w:tr w:rsidR="00AC5C83" w:rsidRPr="00BF031D" w14:paraId="15A2C375" w14:textId="77777777" w:rsidTr="009D3084">
        <w:trPr>
          <w:trHeight w:val="454"/>
        </w:trPr>
        <w:tc>
          <w:tcPr>
            <w:tcW w:w="1570" w:type="dxa"/>
            <w:shd w:val="clear" w:color="auto" w:fill="BFCED6"/>
          </w:tcPr>
          <w:p w14:paraId="0C21E4CD" w14:textId="58A84152"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Bendigo Health</w:t>
            </w:r>
          </w:p>
        </w:tc>
        <w:tc>
          <w:tcPr>
            <w:tcW w:w="1985" w:type="dxa"/>
            <w:shd w:val="clear" w:color="auto" w:fill="BFCED6"/>
          </w:tcPr>
          <w:p w14:paraId="0B534280" w14:textId="03CF984D"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Loddon/Southern Mallee</w:t>
            </w:r>
          </w:p>
        </w:tc>
        <w:tc>
          <w:tcPr>
            <w:tcW w:w="1108" w:type="dxa"/>
            <w:shd w:val="clear" w:color="auto" w:fill="BFCED6"/>
          </w:tcPr>
          <w:p w14:paraId="142ADA8E" w14:textId="32566F4D"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shd w:val="clear" w:color="auto" w:fill="BFCED6"/>
          </w:tcPr>
          <w:p w14:paraId="4B0F39F3" w14:textId="345CCB58" w:rsidR="00AC5C83" w:rsidRPr="00BF031D" w:rsidRDefault="00AC5C83" w:rsidP="00AC5C83">
            <w:pPr>
              <w:jc w:val="center"/>
              <w:rPr>
                <w:rFonts w:ascii="VIC" w:hAnsi="VIC"/>
                <w:sz w:val="18"/>
                <w:szCs w:val="18"/>
              </w:rPr>
            </w:pPr>
            <w:r w:rsidRPr="001E2423">
              <w:rPr>
                <w:rFonts w:ascii="VIC" w:eastAsia="Verdana" w:hAnsi="VIC"/>
                <w:color w:val="000000"/>
                <w:sz w:val="18"/>
                <w:szCs w:val="18"/>
              </w:rPr>
              <w:t>79 %</w:t>
            </w:r>
          </w:p>
        </w:tc>
        <w:tc>
          <w:tcPr>
            <w:tcW w:w="1108" w:type="dxa"/>
            <w:shd w:val="clear" w:color="auto" w:fill="BFCED6"/>
          </w:tcPr>
          <w:p w14:paraId="222EFA3E" w14:textId="6466C23B" w:rsidR="00AC5C83" w:rsidRPr="00BF031D" w:rsidRDefault="00AC5C83" w:rsidP="00AC5C83">
            <w:pPr>
              <w:jc w:val="center"/>
              <w:rPr>
                <w:rFonts w:ascii="VIC" w:hAnsi="VIC"/>
                <w:sz w:val="18"/>
                <w:szCs w:val="18"/>
              </w:rPr>
            </w:pPr>
            <w:r w:rsidRPr="001E2423">
              <w:rPr>
                <w:rFonts w:ascii="VIC" w:eastAsia="Verdana" w:hAnsi="VIC"/>
                <w:color w:val="000000"/>
                <w:sz w:val="18"/>
                <w:szCs w:val="18"/>
              </w:rPr>
              <w:t>10 %</w:t>
            </w:r>
          </w:p>
        </w:tc>
        <w:tc>
          <w:tcPr>
            <w:tcW w:w="1108" w:type="dxa"/>
            <w:shd w:val="clear" w:color="auto" w:fill="BFCED6"/>
          </w:tcPr>
          <w:p w14:paraId="7F42E3A0" w14:textId="1EA4BA60" w:rsidR="00AC5C83" w:rsidRPr="00BF031D" w:rsidRDefault="00AC5C83" w:rsidP="00AC5C83">
            <w:pPr>
              <w:jc w:val="center"/>
              <w:rPr>
                <w:rFonts w:ascii="VIC" w:hAnsi="VIC"/>
                <w:sz w:val="18"/>
                <w:szCs w:val="18"/>
              </w:rPr>
            </w:pPr>
            <w:r w:rsidRPr="001E2423">
              <w:rPr>
                <w:rFonts w:ascii="VIC" w:eastAsia="Verdana" w:hAnsi="VIC"/>
                <w:color w:val="000000"/>
                <w:sz w:val="18"/>
                <w:szCs w:val="18"/>
              </w:rPr>
              <w:t>180.1</w:t>
            </w:r>
          </w:p>
        </w:tc>
        <w:tc>
          <w:tcPr>
            <w:tcW w:w="1108" w:type="dxa"/>
            <w:shd w:val="clear" w:color="auto" w:fill="BFCED6"/>
          </w:tcPr>
          <w:p w14:paraId="44237FCA" w14:textId="6BFA1512" w:rsidR="00AC5C83" w:rsidRPr="00BF031D" w:rsidRDefault="00AC5C83" w:rsidP="00AC5C83">
            <w:pPr>
              <w:jc w:val="center"/>
              <w:rPr>
                <w:rFonts w:ascii="VIC" w:hAnsi="VIC"/>
                <w:sz w:val="18"/>
                <w:szCs w:val="18"/>
              </w:rPr>
            </w:pPr>
            <w:r w:rsidRPr="001E2423">
              <w:rPr>
                <w:rFonts w:ascii="VIC" w:eastAsia="Verdana" w:hAnsi="VIC"/>
                <w:color w:val="000000"/>
                <w:sz w:val="18"/>
                <w:szCs w:val="18"/>
              </w:rPr>
              <w:t>4.1</w:t>
            </w:r>
          </w:p>
        </w:tc>
        <w:tc>
          <w:tcPr>
            <w:tcW w:w="1109" w:type="dxa"/>
            <w:shd w:val="clear" w:color="auto" w:fill="BFCED6"/>
          </w:tcPr>
          <w:p w14:paraId="20EA3C3B" w14:textId="57A5F776" w:rsidR="00AC5C83" w:rsidRPr="00BF031D" w:rsidRDefault="00AC5C83" w:rsidP="00AC5C83">
            <w:pPr>
              <w:jc w:val="center"/>
              <w:rPr>
                <w:rFonts w:ascii="VIC" w:hAnsi="VIC"/>
                <w:sz w:val="18"/>
                <w:szCs w:val="18"/>
              </w:rPr>
            </w:pPr>
            <w:r w:rsidRPr="001E2423">
              <w:rPr>
                <w:rFonts w:ascii="VIC" w:eastAsia="Verdana" w:hAnsi="VIC"/>
                <w:color w:val="000000"/>
                <w:sz w:val="18"/>
                <w:szCs w:val="18"/>
              </w:rPr>
              <w:t>57 %</w:t>
            </w:r>
          </w:p>
        </w:tc>
        <w:tc>
          <w:tcPr>
            <w:tcW w:w="1108" w:type="dxa"/>
            <w:shd w:val="clear" w:color="auto" w:fill="BFCED6"/>
          </w:tcPr>
          <w:p w14:paraId="551560B9" w14:textId="1E83CF27" w:rsidR="00AC5C83" w:rsidRPr="00BF031D" w:rsidRDefault="00AC5C83" w:rsidP="00AC5C83">
            <w:pPr>
              <w:jc w:val="center"/>
              <w:rPr>
                <w:rFonts w:ascii="VIC" w:hAnsi="VIC"/>
                <w:sz w:val="18"/>
                <w:szCs w:val="18"/>
              </w:rPr>
            </w:pPr>
            <w:r w:rsidRPr="001E2423">
              <w:rPr>
                <w:rFonts w:ascii="VIC" w:eastAsia="Verdana" w:hAnsi="VIC"/>
                <w:color w:val="000000"/>
                <w:sz w:val="18"/>
                <w:szCs w:val="18"/>
              </w:rPr>
              <w:t>17.2</w:t>
            </w:r>
          </w:p>
        </w:tc>
        <w:tc>
          <w:tcPr>
            <w:tcW w:w="1108" w:type="dxa"/>
            <w:shd w:val="clear" w:color="auto" w:fill="BFCED6"/>
          </w:tcPr>
          <w:p w14:paraId="302C8960" w14:textId="6B21AB97" w:rsidR="00AC5C83" w:rsidRPr="00BF031D" w:rsidRDefault="00AC5C83" w:rsidP="00AC5C83">
            <w:pPr>
              <w:jc w:val="center"/>
              <w:rPr>
                <w:rFonts w:ascii="VIC" w:hAnsi="VIC"/>
                <w:sz w:val="18"/>
                <w:szCs w:val="18"/>
              </w:rPr>
            </w:pPr>
            <w:r w:rsidRPr="001E2423">
              <w:rPr>
                <w:rFonts w:ascii="VIC" w:eastAsia="Verdana" w:hAnsi="VIC"/>
                <w:color w:val="000000"/>
                <w:sz w:val="18"/>
                <w:szCs w:val="18"/>
              </w:rPr>
              <w:t>55 %</w:t>
            </w:r>
          </w:p>
        </w:tc>
        <w:tc>
          <w:tcPr>
            <w:tcW w:w="1108" w:type="dxa"/>
            <w:shd w:val="clear" w:color="auto" w:fill="BFCED6"/>
          </w:tcPr>
          <w:p w14:paraId="379EFE7E" w14:textId="4B2AF883" w:rsidR="00AC5C83" w:rsidRPr="00BF031D" w:rsidRDefault="00AC5C83" w:rsidP="00AC5C83">
            <w:pPr>
              <w:jc w:val="center"/>
              <w:rPr>
                <w:rFonts w:ascii="VIC" w:hAnsi="VIC"/>
                <w:sz w:val="18"/>
                <w:szCs w:val="18"/>
              </w:rPr>
            </w:pPr>
            <w:r w:rsidRPr="001E2423">
              <w:rPr>
                <w:rFonts w:ascii="VIC" w:eastAsia="Verdana" w:hAnsi="VIC"/>
                <w:color w:val="000000"/>
                <w:sz w:val="18"/>
                <w:szCs w:val="18"/>
              </w:rPr>
              <w:t>45 %</w:t>
            </w:r>
          </w:p>
        </w:tc>
        <w:tc>
          <w:tcPr>
            <w:tcW w:w="1108" w:type="dxa"/>
            <w:shd w:val="clear" w:color="auto" w:fill="BFCED6"/>
          </w:tcPr>
          <w:p w14:paraId="699600B6" w14:textId="0D00E025" w:rsidR="00AC5C83" w:rsidRPr="00BF031D" w:rsidRDefault="00AC5C83" w:rsidP="00AC5C83">
            <w:pPr>
              <w:jc w:val="center"/>
              <w:rPr>
                <w:rFonts w:ascii="VIC" w:hAnsi="VIC"/>
                <w:sz w:val="18"/>
                <w:szCs w:val="18"/>
              </w:rPr>
            </w:pPr>
            <w:r w:rsidRPr="001E2423">
              <w:rPr>
                <w:rFonts w:ascii="VIC" w:eastAsia="Verdana" w:hAnsi="VIC"/>
                <w:color w:val="000000"/>
                <w:sz w:val="18"/>
                <w:szCs w:val="18"/>
              </w:rPr>
              <w:t>1.5</w:t>
            </w:r>
          </w:p>
        </w:tc>
        <w:tc>
          <w:tcPr>
            <w:tcW w:w="1109" w:type="dxa"/>
            <w:shd w:val="clear" w:color="auto" w:fill="BFCED6"/>
          </w:tcPr>
          <w:p w14:paraId="3AA63742" w14:textId="243C2AB4" w:rsidR="00AC5C83" w:rsidRPr="00BF031D" w:rsidRDefault="00AC5C83" w:rsidP="00AC5C83">
            <w:pPr>
              <w:jc w:val="center"/>
              <w:rPr>
                <w:rFonts w:ascii="VIC" w:hAnsi="VIC"/>
                <w:sz w:val="18"/>
                <w:szCs w:val="18"/>
              </w:rPr>
            </w:pPr>
            <w:r w:rsidRPr="001E2423">
              <w:rPr>
                <w:rFonts w:ascii="VIC" w:eastAsia="Verdana" w:hAnsi="VIC"/>
                <w:color w:val="000000"/>
                <w:sz w:val="18"/>
                <w:szCs w:val="18"/>
              </w:rPr>
              <w:t>27 %</w:t>
            </w:r>
          </w:p>
        </w:tc>
      </w:tr>
      <w:tr w:rsidR="00AC5C83" w:rsidRPr="00BF031D" w14:paraId="2E0F2564" w14:textId="77777777" w:rsidTr="009D3084">
        <w:trPr>
          <w:trHeight w:val="454"/>
        </w:trPr>
        <w:tc>
          <w:tcPr>
            <w:tcW w:w="1570" w:type="dxa"/>
            <w:shd w:val="clear" w:color="auto" w:fill="auto"/>
          </w:tcPr>
          <w:p w14:paraId="2031293C" w14:textId="14FED70A"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Goulburn Valley Health</w:t>
            </w:r>
          </w:p>
        </w:tc>
        <w:tc>
          <w:tcPr>
            <w:tcW w:w="1985" w:type="dxa"/>
            <w:shd w:val="clear" w:color="auto" w:fill="auto"/>
          </w:tcPr>
          <w:p w14:paraId="1907B273" w14:textId="18D0697B"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Goulburn &amp; Southern</w:t>
            </w:r>
          </w:p>
        </w:tc>
        <w:tc>
          <w:tcPr>
            <w:tcW w:w="1108" w:type="dxa"/>
            <w:shd w:val="clear" w:color="auto" w:fill="auto"/>
          </w:tcPr>
          <w:p w14:paraId="57559C79" w14:textId="4381CDFB" w:rsidR="00AC5C83" w:rsidRPr="00BF031D" w:rsidRDefault="00AC5C83" w:rsidP="00AC5C83">
            <w:pPr>
              <w:jc w:val="center"/>
              <w:rPr>
                <w:rFonts w:ascii="VIC" w:hAnsi="VIC"/>
                <w:sz w:val="18"/>
                <w:szCs w:val="18"/>
              </w:rPr>
            </w:pPr>
            <w:r w:rsidRPr="001E2423">
              <w:rPr>
                <w:rFonts w:ascii="VIC" w:eastAsia="Verdana" w:hAnsi="VIC"/>
                <w:color w:val="000000"/>
                <w:sz w:val="18"/>
                <w:szCs w:val="18"/>
              </w:rPr>
              <w:t>59 %</w:t>
            </w:r>
          </w:p>
        </w:tc>
        <w:tc>
          <w:tcPr>
            <w:tcW w:w="1108" w:type="dxa"/>
            <w:shd w:val="clear" w:color="auto" w:fill="auto"/>
          </w:tcPr>
          <w:p w14:paraId="0A60BEBA" w14:textId="440A93EF" w:rsidR="00AC5C83" w:rsidRPr="00BF031D" w:rsidRDefault="00AC5C83" w:rsidP="00AC5C83">
            <w:pPr>
              <w:jc w:val="center"/>
              <w:rPr>
                <w:rFonts w:ascii="VIC" w:hAnsi="VIC"/>
                <w:sz w:val="18"/>
                <w:szCs w:val="18"/>
              </w:rPr>
            </w:pPr>
            <w:r w:rsidRPr="001E2423">
              <w:rPr>
                <w:rFonts w:ascii="VIC" w:eastAsia="Verdana" w:hAnsi="VIC"/>
                <w:color w:val="000000"/>
                <w:sz w:val="18"/>
                <w:szCs w:val="18"/>
              </w:rPr>
              <w:t>88 %</w:t>
            </w:r>
          </w:p>
        </w:tc>
        <w:tc>
          <w:tcPr>
            <w:tcW w:w="1108" w:type="dxa"/>
          </w:tcPr>
          <w:p w14:paraId="3C81A735" w14:textId="1F73DAF2" w:rsidR="00AC5C83" w:rsidRPr="00BF031D" w:rsidRDefault="00AC5C83" w:rsidP="00AC5C83">
            <w:pPr>
              <w:jc w:val="center"/>
              <w:rPr>
                <w:rFonts w:ascii="VIC" w:hAnsi="VIC"/>
                <w:sz w:val="18"/>
                <w:szCs w:val="18"/>
              </w:rPr>
            </w:pPr>
            <w:r w:rsidRPr="001E2423">
              <w:rPr>
                <w:rFonts w:ascii="VIC" w:eastAsia="Verdana" w:hAnsi="VIC"/>
                <w:color w:val="000000"/>
                <w:sz w:val="18"/>
                <w:szCs w:val="18"/>
              </w:rPr>
              <w:t>9 %</w:t>
            </w:r>
          </w:p>
        </w:tc>
        <w:tc>
          <w:tcPr>
            <w:tcW w:w="1108" w:type="dxa"/>
          </w:tcPr>
          <w:p w14:paraId="54F87A96" w14:textId="2351D227" w:rsidR="00AC5C83" w:rsidRPr="00BF031D" w:rsidRDefault="00AC5C83" w:rsidP="00AC5C83">
            <w:pPr>
              <w:jc w:val="center"/>
              <w:rPr>
                <w:rFonts w:ascii="VIC" w:hAnsi="VIC"/>
                <w:sz w:val="18"/>
                <w:szCs w:val="18"/>
              </w:rPr>
            </w:pPr>
            <w:r w:rsidRPr="001E2423">
              <w:rPr>
                <w:rFonts w:ascii="VIC" w:eastAsia="Verdana" w:hAnsi="VIC"/>
                <w:color w:val="000000"/>
                <w:sz w:val="18"/>
                <w:szCs w:val="18"/>
              </w:rPr>
              <w:t>237.8</w:t>
            </w:r>
          </w:p>
        </w:tc>
        <w:tc>
          <w:tcPr>
            <w:tcW w:w="1108" w:type="dxa"/>
          </w:tcPr>
          <w:p w14:paraId="5B83C0A1" w14:textId="06D6BE0F" w:rsidR="00AC5C83" w:rsidRPr="00BF031D" w:rsidRDefault="00AC5C83" w:rsidP="00AC5C83">
            <w:pPr>
              <w:jc w:val="center"/>
              <w:rPr>
                <w:rFonts w:ascii="VIC" w:hAnsi="VIC"/>
                <w:sz w:val="18"/>
                <w:szCs w:val="18"/>
              </w:rPr>
            </w:pPr>
            <w:r w:rsidRPr="001E2423">
              <w:rPr>
                <w:rFonts w:ascii="VIC" w:eastAsia="Verdana" w:hAnsi="VIC"/>
                <w:color w:val="000000"/>
                <w:sz w:val="18"/>
                <w:szCs w:val="18"/>
              </w:rPr>
              <w:t>7.0</w:t>
            </w:r>
          </w:p>
        </w:tc>
        <w:tc>
          <w:tcPr>
            <w:tcW w:w="1109" w:type="dxa"/>
            <w:shd w:val="clear" w:color="auto" w:fill="auto"/>
          </w:tcPr>
          <w:p w14:paraId="6881CF28" w14:textId="543D18D1" w:rsidR="00AC5C83" w:rsidRPr="00BF031D" w:rsidRDefault="00AC5C83" w:rsidP="00AC5C83">
            <w:pPr>
              <w:jc w:val="center"/>
              <w:rPr>
                <w:rFonts w:ascii="VIC" w:hAnsi="VIC"/>
                <w:sz w:val="18"/>
                <w:szCs w:val="18"/>
              </w:rPr>
            </w:pPr>
            <w:r w:rsidRPr="001E2423">
              <w:rPr>
                <w:rFonts w:ascii="VIC" w:eastAsia="Verdana" w:hAnsi="VIC"/>
                <w:color w:val="000000"/>
                <w:sz w:val="18"/>
                <w:szCs w:val="18"/>
              </w:rPr>
              <w:t>77 %</w:t>
            </w:r>
          </w:p>
        </w:tc>
        <w:tc>
          <w:tcPr>
            <w:tcW w:w="1108" w:type="dxa"/>
            <w:shd w:val="clear" w:color="auto" w:fill="auto"/>
          </w:tcPr>
          <w:p w14:paraId="56F5163C" w14:textId="32A60114" w:rsidR="00AC5C83" w:rsidRPr="00BF031D" w:rsidRDefault="00AC5C83" w:rsidP="00AC5C83">
            <w:pPr>
              <w:jc w:val="center"/>
              <w:rPr>
                <w:rFonts w:ascii="VIC" w:hAnsi="VIC"/>
                <w:sz w:val="18"/>
                <w:szCs w:val="18"/>
              </w:rPr>
            </w:pPr>
            <w:r w:rsidRPr="001E2423">
              <w:rPr>
                <w:rFonts w:ascii="VIC" w:eastAsia="Verdana" w:hAnsi="VIC"/>
                <w:color w:val="000000"/>
                <w:sz w:val="18"/>
                <w:szCs w:val="18"/>
              </w:rPr>
              <w:t>16.4</w:t>
            </w:r>
          </w:p>
        </w:tc>
        <w:tc>
          <w:tcPr>
            <w:tcW w:w="1108" w:type="dxa"/>
            <w:shd w:val="clear" w:color="auto" w:fill="auto"/>
          </w:tcPr>
          <w:p w14:paraId="1362DA6F" w14:textId="5ABDCB42" w:rsidR="00AC5C83" w:rsidRPr="00BF031D" w:rsidRDefault="00AC5C83" w:rsidP="00AC5C83">
            <w:pPr>
              <w:jc w:val="center"/>
              <w:rPr>
                <w:rFonts w:ascii="VIC" w:hAnsi="VIC"/>
                <w:sz w:val="18"/>
                <w:szCs w:val="18"/>
              </w:rPr>
            </w:pPr>
            <w:r w:rsidRPr="001E2423">
              <w:rPr>
                <w:rFonts w:ascii="VIC" w:eastAsia="Verdana" w:hAnsi="VIC"/>
                <w:color w:val="000000"/>
                <w:sz w:val="18"/>
                <w:szCs w:val="18"/>
              </w:rPr>
              <w:t>52 %</w:t>
            </w:r>
          </w:p>
        </w:tc>
        <w:tc>
          <w:tcPr>
            <w:tcW w:w="1108" w:type="dxa"/>
            <w:shd w:val="clear" w:color="auto" w:fill="auto"/>
          </w:tcPr>
          <w:p w14:paraId="5262979C" w14:textId="25EA2964" w:rsidR="00AC5C83" w:rsidRPr="00BF031D" w:rsidRDefault="00AC5C83" w:rsidP="00AC5C83">
            <w:pPr>
              <w:jc w:val="center"/>
              <w:rPr>
                <w:rFonts w:ascii="VIC" w:hAnsi="VIC"/>
                <w:sz w:val="18"/>
                <w:szCs w:val="18"/>
              </w:rPr>
            </w:pPr>
            <w:r w:rsidRPr="001E2423">
              <w:rPr>
                <w:rFonts w:ascii="VIC" w:eastAsia="Verdana" w:hAnsi="VIC"/>
                <w:color w:val="000000"/>
                <w:sz w:val="18"/>
                <w:szCs w:val="18"/>
              </w:rPr>
              <w:t>28 %</w:t>
            </w:r>
          </w:p>
        </w:tc>
        <w:tc>
          <w:tcPr>
            <w:tcW w:w="1108" w:type="dxa"/>
            <w:shd w:val="clear" w:color="auto" w:fill="auto"/>
          </w:tcPr>
          <w:p w14:paraId="2B5F19DC" w14:textId="511BFD6A" w:rsidR="00AC5C83" w:rsidRPr="00BF031D" w:rsidRDefault="00AC5C83" w:rsidP="00AC5C83">
            <w:pPr>
              <w:jc w:val="center"/>
              <w:rPr>
                <w:rFonts w:ascii="VIC" w:hAnsi="VIC"/>
                <w:sz w:val="18"/>
                <w:szCs w:val="18"/>
              </w:rPr>
            </w:pPr>
            <w:r w:rsidRPr="001E2423">
              <w:rPr>
                <w:rFonts w:ascii="VIC" w:eastAsia="Verdana" w:hAnsi="VIC"/>
                <w:color w:val="000000"/>
                <w:sz w:val="18"/>
                <w:szCs w:val="18"/>
              </w:rPr>
              <w:t>1.6</w:t>
            </w:r>
          </w:p>
        </w:tc>
        <w:tc>
          <w:tcPr>
            <w:tcW w:w="1109" w:type="dxa"/>
            <w:shd w:val="clear" w:color="auto" w:fill="auto"/>
          </w:tcPr>
          <w:p w14:paraId="7A6FCCC2" w14:textId="55828A00" w:rsidR="00AC5C83" w:rsidRPr="00BF031D" w:rsidRDefault="00AC5C83" w:rsidP="00AC5C83">
            <w:pPr>
              <w:jc w:val="center"/>
              <w:rPr>
                <w:rFonts w:ascii="VIC" w:hAnsi="VIC"/>
                <w:sz w:val="18"/>
                <w:szCs w:val="18"/>
              </w:rPr>
            </w:pPr>
            <w:r w:rsidRPr="001E2423">
              <w:rPr>
                <w:rFonts w:ascii="VIC" w:eastAsia="Verdana" w:hAnsi="VIC"/>
                <w:color w:val="000000"/>
                <w:sz w:val="18"/>
                <w:szCs w:val="18"/>
              </w:rPr>
              <w:t>36 %</w:t>
            </w:r>
          </w:p>
        </w:tc>
      </w:tr>
      <w:tr w:rsidR="00AC5C83" w:rsidRPr="00BF031D" w14:paraId="50FD4713" w14:textId="77777777" w:rsidTr="009D3084">
        <w:trPr>
          <w:trHeight w:val="454"/>
        </w:trPr>
        <w:tc>
          <w:tcPr>
            <w:tcW w:w="1570" w:type="dxa"/>
            <w:shd w:val="clear" w:color="auto" w:fill="BFCED6"/>
          </w:tcPr>
          <w:p w14:paraId="161A2AFF" w14:textId="537655DC"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Latrobe Regional</w:t>
            </w:r>
          </w:p>
        </w:tc>
        <w:tc>
          <w:tcPr>
            <w:tcW w:w="1985" w:type="dxa"/>
            <w:shd w:val="clear" w:color="auto" w:fill="BFCED6"/>
          </w:tcPr>
          <w:p w14:paraId="04F03EEC" w14:textId="1767B58D"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Gippsland</w:t>
            </w:r>
          </w:p>
        </w:tc>
        <w:tc>
          <w:tcPr>
            <w:tcW w:w="1108" w:type="dxa"/>
            <w:shd w:val="clear" w:color="auto" w:fill="BFCED6"/>
          </w:tcPr>
          <w:p w14:paraId="0FAAA5C0" w14:textId="771D4F86" w:rsidR="00AC5C83" w:rsidRPr="00BF031D" w:rsidRDefault="00AC5C83" w:rsidP="00AC5C83">
            <w:pPr>
              <w:jc w:val="center"/>
              <w:rPr>
                <w:rFonts w:ascii="VIC" w:hAnsi="VIC"/>
                <w:sz w:val="18"/>
                <w:szCs w:val="18"/>
              </w:rPr>
            </w:pPr>
            <w:r w:rsidRPr="001E2423">
              <w:rPr>
                <w:rFonts w:ascii="VIC" w:eastAsia="Verdana" w:hAnsi="VIC"/>
                <w:color w:val="000000"/>
                <w:sz w:val="18"/>
                <w:szCs w:val="18"/>
              </w:rPr>
              <w:t>48 %</w:t>
            </w:r>
          </w:p>
        </w:tc>
        <w:tc>
          <w:tcPr>
            <w:tcW w:w="1108" w:type="dxa"/>
            <w:shd w:val="clear" w:color="auto" w:fill="BFCED6"/>
          </w:tcPr>
          <w:p w14:paraId="20A56B34" w14:textId="7A613C4C" w:rsidR="00AC5C83" w:rsidRPr="00BF031D" w:rsidRDefault="00AC5C83" w:rsidP="00AC5C83">
            <w:pPr>
              <w:jc w:val="center"/>
              <w:rPr>
                <w:rFonts w:ascii="VIC" w:hAnsi="VIC"/>
                <w:sz w:val="18"/>
                <w:szCs w:val="18"/>
              </w:rPr>
            </w:pPr>
            <w:r w:rsidRPr="001E2423">
              <w:rPr>
                <w:rFonts w:ascii="VIC" w:eastAsia="Verdana" w:hAnsi="VIC"/>
                <w:color w:val="000000"/>
                <w:sz w:val="18"/>
                <w:szCs w:val="18"/>
              </w:rPr>
              <w:t>87 %</w:t>
            </w:r>
          </w:p>
        </w:tc>
        <w:tc>
          <w:tcPr>
            <w:tcW w:w="1108" w:type="dxa"/>
            <w:shd w:val="clear" w:color="auto" w:fill="BFCED6"/>
          </w:tcPr>
          <w:p w14:paraId="050E6311" w14:textId="34024009" w:rsidR="00AC5C83" w:rsidRPr="00BF031D" w:rsidRDefault="00AC5C83" w:rsidP="00AC5C83">
            <w:pPr>
              <w:jc w:val="center"/>
              <w:rPr>
                <w:rFonts w:ascii="VIC" w:hAnsi="VIC"/>
                <w:sz w:val="18"/>
                <w:szCs w:val="18"/>
              </w:rPr>
            </w:pPr>
            <w:r w:rsidRPr="001E2423">
              <w:rPr>
                <w:rFonts w:ascii="VIC" w:eastAsia="Verdana" w:hAnsi="VIC"/>
                <w:color w:val="000000"/>
                <w:sz w:val="18"/>
                <w:szCs w:val="18"/>
              </w:rPr>
              <w:t>9 %</w:t>
            </w:r>
          </w:p>
        </w:tc>
        <w:tc>
          <w:tcPr>
            <w:tcW w:w="1108" w:type="dxa"/>
            <w:shd w:val="clear" w:color="auto" w:fill="BFCED6"/>
          </w:tcPr>
          <w:p w14:paraId="13FB26FF" w14:textId="461575C8" w:rsidR="00AC5C83" w:rsidRPr="00BF031D" w:rsidRDefault="00AC5C83" w:rsidP="00AC5C83">
            <w:pPr>
              <w:jc w:val="center"/>
              <w:rPr>
                <w:rFonts w:ascii="VIC" w:hAnsi="VIC"/>
                <w:sz w:val="18"/>
                <w:szCs w:val="18"/>
              </w:rPr>
            </w:pPr>
            <w:r w:rsidRPr="001E2423">
              <w:rPr>
                <w:rFonts w:ascii="VIC" w:eastAsia="Verdana" w:hAnsi="VIC"/>
                <w:color w:val="000000"/>
                <w:sz w:val="18"/>
                <w:szCs w:val="18"/>
              </w:rPr>
              <w:t>351.1</w:t>
            </w:r>
          </w:p>
        </w:tc>
        <w:tc>
          <w:tcPr>
            <w:tcW w:w="1108" w:type="dxa"/>
            <w:shd w:val="clear" w:color="auto" w:fill="BFCED6"/>
          </w:tcPr>
          <w:p w14:paraId="2513B15F" w14:textId="7C1457D3" w:rsidR="00AC5C83" w:rsidRPr="00BF031D" w:rsidRDefault="00AC5C83" w:rsidP="00AC5C83">
            <w:pPr>
              <w:jc w:val="center"/>
              <w:rPr>
                <w:rFonts w:ascii="VIC" w:hAnsi="VIC"/>
                <w:sz w:val="18"/>
                <w:szCs w:val="18"/>
              </w:rPr>
            </w:pPr>
            <w:r w:rsidRPr="001E2423">
              <w:rPr>
                <w:rFonts w:ascii="VIC" w:eastAsia="Verdana" w:hAnsi="VIC"/>
                <w:color w:val="000000"/>
                <w:sz w:val="18"/>
                <w:szCs w:val="18"/>
              </w:rPr>
              <w:t>6.6</w:t>
            </w:r>
          </w:p>
        </w:tc>
        <w:tc>
          <w:tcPr>
            <w:tcW w:w="1109" w:type="dxa"/>
            <w:shd w:val="clear" w:color="auto" w:fill="BFCED6"/>
          </w:tcPr>
          <w:p w14:paraId="7F884DD8" w14:textId="73AB510F" w:rsidR="00AC5C83" w:rsidRPr="00BF031D" w:rsidRDefault="00AC5C83" w:rsidP="00AC5C83">
            <w:pPr>
              <w:jc w:val="center"/>
              <w:rPr>
                <w:rFonts w:ascii="VIC" w:hAnsi="VIC"/>
                <w:sz w:val="18"/>
                <w:szCs w:val="18"/>
              </w:rPr>
            </w:pPr>
            <w:r w:rsidRPr="001E2423">
              <w:rPr>
                <w:rFonts w:ascii="VIC" w:eastAsia="Verdana" w:hAnsi="VIC"/>
                <w:color w:val="000000"/>
                <w:sz w:val="18"/>
                <w:szCs w:val="18"/>
              </w:rPr>
              <w:t>88 %</w:t>
            </w:r>
          </w:p>
        </w:tc>
        <w:tc>
          <w:tcPr>
            <w:tcW w:w="1108" w:type="dxa"/>
            <w:shd w:val="clear" w:color="auto" w:fill="BFCED6"/>
          </w:tcPr>
          <w:p w14:paraId="2B1F4A7C" w14:textId="6F3C6A45" w:rsidR="00AC5C83" w:rsidRPr="00BF031D" w:rsidRDefault="00AC5C83" w:rsidP="00AC5C83">
            <w:pPr>
              <w:jc w:val="center"/>
              <w:rPr>
                <w:rFonts w:ascii="VIC" w:hAnsi="VIC"/>
                <w:sz w:val="18"/>
                <w:szCs w:val="18"/>
              </w:rPr>
            </w:pPr>
            <w:r w:rsidRPr="001E2423">
              <w:rPr>
                <w:rFonts w:ascii="VIC" w:eastAsia="Verdana" w:hAnsi="VIC"/>
                <w:color w:val="000000"/>
                <w:sz w:val="18"/>
                <w:szCs w:val="18"/>
              </w:rPr>
              <w:t>16.2</w:t>
            </w:r>
          </w:p>
        </w:tc>
        <w:tc>
          <w:tcPr>
            <w:tcW w:w="1108" w:type="dxa"/>
            <w:shd w:val="clear" w:color="auto" w:fill="BFCED6"/>
          </w:tcPr>
          <w:p w14:paraId="6A7949FD" w14:textId="6F66A6CF" w:rsidR="00AC5C83" w:rsidRPr="00BF031D" w:rsidRDefault="00AC5C83" w:rsidP="00AC5C83">
            <w:pPr>
              <w:jc w:val="center"/>
              <w:rPr>
                <w:rFonts w:ascii="VIC" w:hAnsi="VIC"/>
                <w:sz w:val="18"/>
                <w:szCs w:val="18"/>
              </w:rPr>
            </w:pPr>
            <w:r w:rsidRPr="001E2423">
              <w:rPr>
                <w:rFonts w:ascii="VIC" w:eastAsia="Verdana" w:hAnsi="VIC"/>
                <w:color w:val="000000"/>
                <w:sz w:val="18"/>
                <w:szCs w:val="18"/>
              </w:rPr>
              <w:t>50 %</w:t>
            </w:r>
          </w:p>
        </w:tc>
        <w:tc>
          <w:tcPr>
            <w:tcW w:w="1108" w:type="dxa"/>
            <w:shd w:val="clear" w:color="auto" w:fill="BFCED6"/>
          </w:tcPr>
          <w:p w14:paraId="4A187209" w14:textId="1BA577B0" w:rsidR="00AC5C83" w:rsidRPr="00BF031D" w:rsidRDefault="00AC5C83" w:rsidP="00AC5C83">
            <w:pPr>
              <w:jc w:val="center"/>
              <w:rPr>
                <w:rFonts w:ascii="VIC" w:hAnsi="VIC"/>
                <w:sz w:val="18"/>
                <w:szCs w:val="18"/>
              </w:rPr>
            </w:pPr>
            <w:r w:rsidRPr="001E2423">
              <w:rPr>
                <w:rFonts w:ascii="VIC" w:eastAsia="Verdana" w:hAnsi="VIC"/>
                <w:color w:val="000000"/>
                <w:sz w:val="18"/>
                <w:szCs w:val="18"/>
              </w:rPr>
              <w:t>17 %</w:t>
            </w:r>
          </w:p>
        </w:tc>
        <w:tc>
          <w:tcPr>
            <w:tcW w:w="1108" w:type="dxa"/>
            <w:shd w:val="clear" w:color="auto" w:fill="BFCED6"/>
          </w:tcPr>
          <w:p w14:paraId="26DB982A" w14:textId="6C3F262B" w:rsidR="00AC5C83" w:rsidRPr="00BF031D" w:rsidRDefault="00AC5C83" w:rsidP="00AC5C83">
            <w:pPr>
              <w:jc w:val="center"/>
              <w:rPr>
                <w:rFonts w:ascii="VIC" w:hAnsi="VIC"/>
                <w:sz w:val="18"/>
                <w:szCs w:val="18"/>
              </w:rPr>
            </w:pPr>
            <w:r w:rsidRPr="001E2423">
              <w:rPr>
                <w:rFonts w:ascii="VIC" w:eastAsia="Verdana" w:hAnsi="VIC"/>
                <w:color w:val="000000"/>
                <w:sz w:val="18"/>
                <w:szCs w:val="18"/>
              </w:rPr>
              <w:t>1.3</w:t>
            </w:r>
          </w:p>
        </w:tc>
        <w:tc>
          <w:tcPr>
            <w:tcW w:w="1109" w:type="dxa"/>
            <w:shd w:val="clear" w:color="auto" w:fill="BFCED6"/>
          </w:tcPr>
          <w:p w14:paraId="51695561" w14:textId="48AE49F5" w:rsidR="00AC5C83" w:rsidRPr="00BF031D" w:rsidRDefault="00AC5C83" w:rsidP="00AC5C83">
            <w:pPr>
              <w:jc w:val="center"/>
              <w:rPr>
                <w:rFonts w:ascii="VIC" w:hAnsi="VIC"/>
                <w:sz w:val="18"/>
                <w:szCs w:val="18"/>
              </w:rPr>
            </w:pPr>
            <w:r w:rsidRPr="001E2423">
              <w:rPr>
                <w:rFonts w:ascii="VIC" w:eastAsia="Verdana" w:hAnsi="VIC"/>
                <w:color w:val="000000"/>
                <w:sz w:val="18"/>
                <w:szCs w:val="18"/>
              </w:rPr>
              <w:t>30 %</w:t>
            </w:r>
          </w:p>
        </w:tc>
      </w:tr>
      <w:tr w:rsidR="00AC5C83" w:rsidRPr="00BF031D" w14:paraId="49CF49F1" w14:textId="77777777" w:rsidTr="009D3084">
        <w:trPr>
          <w:trHeight w:val="454"/>
        </w:trPr>
        <w:tc>
          <w:tcPr>
            <w:tcW w:w="1570" w:type="dxa"/>
            <w:shd w:val="clear" w:color="auto" w:fill="auto"/>
          </w:tcPr>
          <w:p w14:paraId="1F9C7FC4" w14:textId="0A117F3E"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Mildura Base Hospital</w:t>
            </w:r>
          </w:p>
        </w:tc>
        <w:tc>
          <w:tcPr>
            <w:tcW w:w="1985" w:type="dxa"/>
            <w:shd w:val="clear" w:color="auto" w:fill="auto"/>
          </w:tcPr>
          <w:p w14:paraId="51DE5034" w14:textId="478042B8" w:rsidR="00AC5C83" w:rsidRPr="00BF031D" w:rsidRDefault="00AC5C83" w:rsidP="00AC5C83">
            <w:pPr>
              <w:pStyle w:val="DHHStabletext"/>
              <w:spacing w:before="0" w:after="0"/>
              <w:rPr>
                <w:rFonts w:ascii="VIC" w:eastAsia="Verdana" w:hAnsi="VIC" w:cs="Verdana"/>
                <w:sz w:val="18"/>
                <w:szCs w:val="18"/>
              </w:rPr>
            </w:pPr>
            <w:r w:rsidRPr="001E2423">
              <w:rPr>
                <w:rFonts w:ascii="VIC" w:eastAsia="Verdana" w:hAnsi="VIC"/>
                <w:color w:val="000000"/>
                <w:sz w:val="18"/>
                <w:szCs w:val="18"/>
              </w:rPr>
              <w:t>Northern Mallee</w:t>
            </w:r>
          </w:p>
        </w:tc>
        <w:tc>
          <w:tcPr>
            <w:tcW w:w="1108" w:type="dxa"/>
            <w:shd w:val="clear" w:color="auto" w:fill="auto"/>
          </w:tcPr>
          <w:p w14:paraId="58B7B81A" w14:textId="0938512D" w:rsidR="00AC5C83" w:rsidRPr="00BF031D" w:rsidRDefault="00AC5C83" w:rsidP="00AC5C83">
            <w:pPr>
              <w:jc w:val="center"/>
              <w:rPr>
                <w:rFonts w:ascii="VIC" w:hAnsi="VIC"/>
                <w:sz w:val="18"/>
                <w:szCs w:val="18"/>
              </w:rPr>
            </w:pPr>
            <w:r w:rsidRPr="001E2423">
              <w:rPr>
                <w:rFonts w:ascii="VIC" w:eastAsia="Verdana" w:hAnsi="VIC"/>
                <w:color w:val="000000"/>
                <w:sz w:val="18"/>
                <w:szCs w:val="18"/>
              </w:rPr>
              <w:t>42 %</w:t>
            </w:r>
          </w:p>
        </w:tc>
        <w:tc>
          <w:tcPr>
            <w:tcW w:w="1108" w:type="dxa"/>
            <w:shd w:val="clear" w:color="auto" w:fill="auto"/>
          </w:tcPr>
          <w:p w14:paraId="1B1E95CA" w14:textId="133AFF82" w:rsidR="00AC5C83" w:rsidRPr="00BF031D" w:rsidRDefault="00AC5C83" w:rsidP="00AC5C83">
            <w:pPr>
              <w:jc w:val="center"/>
              <w:rPr>
                <w:rFonts w:ascii="VIC" w:hAnsi="VIC"/>
                <w:sz w:val="18"/>
                <w:szCs w:val="18"/>
              </w:rPr>
            </w:pPr>
            <w:r w:rsidRPr="001E2423">
              <w:rPr>
                <w:rFonts w:ascii="VIC" w:eastAsia="Verdana" w:hAnsi="VIC"/>
                <w:color w:val="000000"/>
                <w:sz w:val="18"/>
                <w:szCs w:val="18"/>
              </w:rPr>
              <w:t>100 %</w:t>
            </w:r>
          </w:p>
        </w:tc>
        <w:tc>
          <w:tcPr>
            <w:tcW w:w="1108" w:type="dxa"/>
          </w:tcPr>
          <w:p w14:paraId="7F651FC6" w14:textId="28CB2F54" w:rsidR="00AC5C83" w:rsidRPr="00BF031D" w:rsidRDefault="00AC5C83" w:rsidP="00AC5C83">
            <w:pPr>
              <w:jc w:val="center"/>
              <w:rPr>
                <w:rFonts w:ascii="VIC" w:hAnsi="VIC"/>
                <w:sz w:val="18"/>
                <w:szCs w:val="18"/>
              </w:rPr>
            </w:pPr>
            <w:r w:rsidRPr="001E2423">
              <w:rPr>
                <w:rFonts w:ascii="VIC" w:eastAsia="Verdana" w:hAnsi="VIC"/>
                <w:color w:val="000000"/>
                <w:sz w:val="18"/>
                <w:szCs w:val="18"/>
              </w:rPr>
              <w:t>6 %</w:t>
            </w:r>
          </w:p>
        </w:tc>
        <w:tc>
          <w:tcPr>
            <w:tcW w:w="1108" w:type="dxa"/>
          </w:tcPr>
          <w:p w14:paraId="6580F460" w14:textId="4F50A3FD" w:rsidR="00AC5C83" w:rsidRPr="00BF031D" w:rsidRDefault="00AC5C83" w:rsidP="00AC5C83">
            <w:pPr>
              <w:jc w:val="center"/>
              <w:rPr>
                <w:rFonts w:ascii="VIC" w:hAnsi="VIC"/>
                <w:sz w:val="18"/>
                <w:szCs w:val="18"/>
              </w:rPr>
            </w:pPr>
            <w:r w:rsidRPr="001E2423">
              <w:rPr>
                <w:rFonts w:ascii="VIC" w:eastAsia="Verdana" w:hAnsi="VIC"/>
                <w:color w:val="000000"/>
                <w:sz w:val="18"/>
                <w:szCs w:val="18"/>
              </w:rPr>
              <w:t>245.9</w:t>
            </w:r>
          </w:p>
        </w:tc>
        <w:tc>
          <w:tcPr>
            <w:tcW w:w="1108" w:type="dxa"/>
          </w:tcPr>
          <w:p w14:paraId="1F2BF40C" w14:textId="6F929C2C" w:rsidR="00AC5C83" w:rsidRPr="00BF031D" w:rsidRDefault="00AC5C83" w:rsidP="00AC5C83">
            <w:pPr>
              <w:jc w:val="center"/>
              <w:rPr>
                <w:rFonts w:ascii="VIC" w:hAnsi="VIC"/>
                <w:sz w:val="18"/>
                <w:szCs w:val="18"/>
              </w:rPr>
            </w:pPr>
            <w:r w:rsidRPr="001E2423">
              <w:rPr>
                <w:rFonts w:ascii="VIC" w:eastAsia="Verdana" w:hAnsi="VIC"/>
                <w:color w:val="000000"/>
                <w:sz w:val="18"/>
                <w:szCs w:val="18"/>
              </w:rPr>
              <w:t>7.4</w:t>
            </w:r>
          </w:p>
        </w:tc>
        <w:tc>
          <w:tcPr>
            <w:tcW w:w="1109" w:type="dxa"/>
            <w:shd w:val="clear" w:color="auto" w:fill="auto"/>
          </w:tcPr>
          <w:p w14:paraId="743E3CC9" w14:textId="1289B3F4" w:rsidR="00AC5C83" w:rsidRPr="00BF031D" w:rsidRDefault="00AC5C83" w:rsidP="00AC5C83">
            <w:pPr>
              <w:jc w:val="center"/>
              <w:rPr>
                <w:rFonts w:ascii="VIC" w:hAnsi="VIC"/>
                <w:sz w:val="18"/>
                <w:szCs w:val="18"/>
              </w:rPr>
            </w:pPr>
            <w:r w:rsidRPr="001E2423">
              <w:rPr>
                <w:rFonts w:ascii="VIC" w:eastAsia="Verdana" w:hAnsi="VIC"/>
                <w:color w:val="000000"/>
                <w:sz w:val="18"/>
                <w:szCs w:val="18"/>
              </w:rPr>
              <w:t>68 %</w:t>
            </w:r>
          </w:p>
        </w:tc>
        <w:tc>
          <w:tcPr>
            <w:tcW w:w="1108" w:type="dxa"/>
            <w:shd w:val="clear" w:color="auto" w:fill="auto"/>
          </w:tcPr>
          <w:p w14:paraId="12AECF5A" w14:textId="10003353" w:rsidR="00AC5C83" w:rsidRPr="00BF031D" w:rsidRDefault="00AC5C83" w:rsidP="00AC5C83">
            <w:pPr>
              <w:jc w:val="center"/>
              <w:rPr>
                <w:rFonts w:ascii="VIC" w:hAnsi="VIC"/>
                <w:sz w:val="18"/>
                <w:szCs w:val="18"/>
              </w:rPr>
            </w:pPr>
            <w:r w:rsidRPr="001E2423">
              <w:rPr>
                <w:rFonts w:ascii="VIC" w:eastAsia="Verdana" w:hAnsi="VIC"/>
                <w:color w:val="000000"/>
                <w:sz w:val="18"/>
                <w:szCs w:val="18"/>
              </w:rPr>
              <w:t>16.8</w:t>
            </w:r>
          </w:p>
        </w:tc>
        <w:tc>
          <w:tcPr>
            <w:tcW w:w="1108" w:type="dxa"/>
            <w:shd w:val="clear" w:color="auto" w:fill="auto"/>
          </w:tcPr>
          <w:p w14:paraId="57556B90" w14:textId="71E00D4E" w:rsidR="00AC5C83" w:rsidRPr="00BF031D" w:rsidRDefault="00AC5C83" w:rsidP="00AC5C83">
            <w:pPr>
              <w:jc w:val="center"/>
              <w:rPr>
                <w:rFonts w:ascii="VIC" w:hAnsi="VIC"/>
                <w:sz w:val="18"/>
                <w:szCs w:val="18"/>
              </w:rPr>
            </w:pPr>
            <w:r w:rsidRPr="001E2423">
              <w:rPr>
                <w:rFonts w:ascii="VIC" w:eastAsia="Verdana" w:hAnsi="VIC"/>
                <w:color w:val="000000"/>
                <w:sz w:val="18"/>
                <w:szCs w:val="18"/>
              </w:rPr>
              <w:t>51 %</w:t>
            </w:r>
          </w:p>
        </w:tc>
        <w:tc>
          <w:tcPr>
            <w:tcW w:w="1108" w:type="dxa"/>
            <w:shd w:val="clear" w:color="auto" w:fill="auto"/>
          </w:tcPr>
          <w:p w14:paraId="030C522D" w14:textId="1EB1D370" w:rsidR="00AC5C83" w:rsidRPr="00BF031D" w:rsidRDefault="00AC5C83" w:rsidP="00AC5C83">
            <w:pPr>
              <w:jc w:val="center"/>
              <w:rPr>
                <w:rFonts w:ascii="VIC" w:hAnsi="VIC"/>
                <w:sz w:val="18"/>
                <w:szCs w:val="18"/>
              </w:rPr>
            </w:pPr>
            <w:r w:rsidRPr="001E2423">
              <w:rPr>
                <w:rFonts w:ascii="VIC" w:eastAsia="Verdana" w:hAnsi="VIC"/>
                <w:color w:val="000000"/>
                <w:sz w:val="18"/>
                <w:szCs w:val="18"/>
              </w:rPr>
              <w:t>5 %</w:t>
            </w:r>
          </w:p>
        </w:tc>
        <w:tc>
          <w:tcPr>
            <w:tcW w:w="1108" w:type="dxa"/>
            <w:shd w:val="clear" w:color="auto" w:fill="auto"/>
          </w:tcPr>
          <w:p w14:paraId="0AB93A2E" w14:textId="296DBC31" w:rsidR="00AC5C83" w:rsidRPr="00BF031D" w:rsidRDefault="00AC5C83" w:rsidP="00AC5C83">
            <w:pPr>
              <w:jc w:val="center"/>
              <w:rPr>
                <w:rFonts w:ascii="VIC" w:hAnsi="VIC"/>
                <w:sz w:val="18"/>
                <w:szCs w:val="18"/>
              </w:rPr>
            </w:pPr>
            <w:r w:rsidRPr="001E2423">
              <w:rPr>
                <w:rFonts w:ascii="VIC" w:eastAsia="Verdana" w:hAnsi="VIC"/>
                <w:color w:val="000000"/>
                <w:sz w:val="18"/>
                <w:szCs w:val="18"/>
              </w:rPr>
              <w:t>1.5</w:t>
            </w:r>
          </w:p>
        </w:tc>
        <w:tc>
          <w:tcPr>
            <w:tcW w:w="1109" w:type="dxa"/>
            <w:shd w:val="clear" w:color="auto" w:fill="auto"/>
          </w:tcPr>
          <w:p w14:paraId="7EF9A22B" w14:textId="3DECC2D0" w:rsidR="00AC5C83" w:rsidRPr="00BF031D" w:rsidRDefault="00AC5C83" w:rsidP="00AC5C83">
            <w:pPr>
              <w:jc w:val="center"/>
              <w:rPr>
                <w:rFonts w:ascii="VIC" w:hAnsi="VIC"/>
                <w:sz w:val="18"/>
                <w:szCs w:val="18"/>
              </w:rPr>
            </w:pPr>
            <w:r w:rsidRPr="001E2423">
              <w:rPr>
                <w:rFonts w:ascii="VIC" w:eastAsia="Verdana" w:hAnsi="VIC"/>
                <w:color w:val="000000"/>
                <w:sz w:val="18"/>
                <w:szCs w:val="18"/>
              </w:rPr>
              <w:t>26 %</w:t>
            </w:r>
          </w:p>
        </w:tc>
      </w:tr>
      <w:tr w:rsidR="00AC5C83" w:rsidRPr="00BF031D" w14:paraId="781E53BF" w14:textId="77777777" w:rsidTr="009D3084">
        <w:trPr>
          <w:trHeight w:val="454"/>
        </w:trPr>
        <w:tc>
          <w:tcPr>
            <w:tcW w:w="1570" w:type="dxa"/>
            <w:vMerge w:val="restart"/>
            <w:shd w:val="clear" w:color="auto" w:fill="BFCED6"/>
          </w:tcPr>
          <w:p w14:paraId="305476B2" w14:textId="2B5DDF70"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Albury Wodonga Health</w:t>
            </w:r>
          </w:p>
        </w:tc>
        <w:tc>
          <w:tcPr>
            <w:tcW w:w="1985" w:type="dxa"/>
            <w:shd w:val="clear" w:color="auto" w:fill="BFCED6"/>
          </w:tcPr>
          <w:p w14:paraId="335A63D4" w14:textId="113A77EA" w:rsidR="00AC5C83" w:rsidRPr="00BF031D" w:rsidRDefault="00AC5C83" w:rsidP="00AC5C83">
            <w:pPr>
              <w:pStyle w:val="DHHStabletext"/>
              <w:spacing w:before="0" w:after="0"/>
              <w:rPr>
                <w:rFonts w:ascii="VIC" w:hAnsi="VIC"/>
                <w:sz w:val="18"/>
                <w:szCs w:val="18"/>
              </w:rPr>
            </w:pPr>
            <w:r w:rsidRPr="001E2423">
              <w:rPr>
                <w:rFonts w:ascii="VIC" w:eastAsia="Verdana" w:hAnsi="VIC"/>
                <w:color w:val="000000"/>
                <w:sz w:val="18"/>
                <w:szCs w:val="18"/>
              </w:rPr>
              <w:t>Albury - NSW</w:t>
            </w:r>
          </w:p>
        </w:tc>
        <w:tc>
          <w:tcPr>
            <w:tcW w:w="1108" w:type="dxa"/>
            <w:shd w:val="clear" w:color="auto" w:fill="BFCED6"/>
          </w:tcPr>
          <w:p w14:paraId="2DB49BB3" w14:textId="77777777" w:rsidR="00AC5C83" w:rsidRPr="00BF031D" w:rsidRDefault="00AC5C83" w:rsidP="00AC5C83">
            <w:pPr>
              <w:jc w:val="center"/>
              <w:rPr>
                <w:rFonts w:ascii="VIC" w:hAnsi="VIC"/>
                <w:sz w:val="18"/>
                <w:szCs w:val="18"/>
              </w:rPr>
            </w:pPr>
          </w:p>
        </w:tc>
        <w:tc>
          <w:tcPr>
            <w:tcW w:w="1108" w:type="dxa"/>
            <w:shd w:val="clear" w:color="auto" w:fill="BFCED6"/>
          </w:tcPr>
          <w:p w14:paraId="04C5FA26" w14:textId="77777777" w:rsidR="00AC5C83" w:rsidRPr="00BF031D" w:rsidRDefault="00AC5C83" w:rsidP="00AC5C83">
            <w:pPr>
              <w:jc w:val="center"/>
              <w:rPr>
                <w:rFonts w:ascii="VIC" w:hAnsi="VIC"/>
                <w:sz w:val="18"/>
                <w:szCs w:val="18"/>
              </w:rPr>
            </w:pPr>
          </w:p>
        </w:tc>
        <w:tc>
          <w:tcPr>
            <w:tcW w:w="1108" w:type="dxa"/>
            <w:shd w:val="clear" w:color="auto" w:fill="BFCED6"/>
          </w:tcPr>
          <w:p w14:paraId="3A1A284C" w14:textId="0E36F3FF" w:rsidR="00AC5C83" w:rsidRPr="00BF031D" w:rsidRDefault="00AC5C83" w:rsidP="00AC5C83">
            <w:pPr>
              <w:jc w:val="center"/>
              <w:rPr>
                <w:rFonts w:ascii="VIC" w:hAnsi="VIC"/>
                <w:sz w:val="18"/>
                <w:szCs w:val="18"/>
              </w:rPr>
            </w:pPr>
            <w:r w:rsidRPr="001E2423">
              <w:rPr>
                <w:rFonts w:ascii="VIC" w:eastAsia="Verdana" w:hAnsi="VIC"/>
                <w:color w:val="000000"/>
                <w:sz w:val="18"/>
                <w:szCs w:val="18"/>
              </w:rPr>
              <w:t>14 %</w:t>
            </w:r>
          </w:p>
        </w:tc>
        <w:tc>
          <w:tcPr>
            <w:tcW w:w="1108" w:type="dxa"/>
            <w:shd w:val="clear" w:color="auto" w:fill="BFCED6"/>
          </w:tcPr>
          <w:p w14:paraId="1888B0B2" w14:textId="1281BB17" w:rsidR="00AC5C83" w:rsidRPr="00BF031D" w:rsidRDefault="00AC5C83" w:rsidP="00AC5C83">
            <w:pPr>
              <w:jc w:val="center"/>
              <w:rPr>
                <w:rFonts w:ascii="VIC" w:hAnsi="VIC"/>
                <w:sz w:val="18"/>
                <w:szCs w:val="18"/>
              </w:rPr>
            </w:pPr>
            <w:r w:rsidRPr="001E2423">
              <w:rPr>
                <w:rFonts w:ascii="VIC" w:eastAsia="Verdana" w:hAnsi="VIC"/>
                <w:color w:val="000000"/>
                <w:sz w:val="18"/>
                <w:szCs w:val="18"/>
              </w:rPr>
              <w:t>203.1</w:t>
            </w:r>
          </w:p>
        </w:tc>
        <w:tc>
          <w:tcPr>
            <w:tcW w:w="1108" w:type="dxa"/>
            <w:shd w:val="clear" w:color="auto" w:fill="BFCED6"/>
          </w:tcPr>
          <w:p w14:paraId="4EEF6246" w14:textId="2AA97316" w:rsidR="00AC5C83" w:rsidRPr="00BF031D" w:rsidRDefault="00AC5C83" w:rsidP="00AC5C83">
            <w:pPr>
              <w:jc w:val="center"/>
              <w:rPr>
                <w:rFonts w:ascii="VIC" w:hAnsi="VIC"/>
                <w:sz w:val="18"/>
                <w:szCs w:val="18"/>
              </w:rPr>
            </w:pPr>
            <w:r w:rsidRPr="001E2423">
              <w:rPr>
                <w:rFonts w:ascii="VIC" w:eastAsia="Verdana" w:hAnsi="VIC"/>
                <w:color w:val="000000"/>
                <w:sz w:val="18"/>
                <w:szCs w:val="18"/>
              </w:rPr>
              <w:t>1.4</w:t>
            </w:r>
          </w:p>
        </w:tc>
        <w:tc>
          <w:tcPr>
            <w:tcW w:w="1109" w:type="dxa"/>
            <w:shd w:val="clear" w:color="auto" w:fill="BFCED6"/>
          </w:tcPr>
          <w:p w14:paraId="5099E774" w14:textId="37F3E1A9" w:rsidR="00AC5C83" w:rsidRPr="00BF031D" w:rsidRDefault="00AC5C83" w:rsidP="00AC5C83">
            <w:pPr>
              <w:jc w:val="center"/>
              <w:rPr>
                <w:rFonts w:ascii="VIC" w:hAnsi="VIC"/>
                <w:sz w:val="18"/>
                <w:szCs w:val="18"/>
              </w:rPr>
            </w:pPr>
            <w:r w:rsidRPr="001E2423">
              <w:rPr>
                <w:rFonts w:ascii="VIC" w:eastAsia="Verdana" w:hAnsi="VIC"/>
                <w:color w:val="000000"/>
                <w:sz w:val="18"/>
                <w:szCs w:val="18"/>
              </w:rPr>
              <w:t>26 %</w:t>
            </w:r>
          </w:p>
        </w:tc>
        <w:tc>
          <w:tcPr>
            <w:tcW w:w="1108" w:type="dxa"/>
            <w:shd w:val="clear" w:color="auto" w:fill="BFCED6"/>
          </w:tcPr>
          <w:p w14:paraId="3B5126AE" w14:textId="7B9CE417" w:rsidR="00AC5C83" w:rsidRPr="00BF031D" w:rsidRDefault="00AC5C83" w:rsidP="00AC5C83">
            <w:pPr>
              <w:jc w:val="center"/>
              <w:rPr>
                <w:rFonts w:ascii="VIC" w:hAnsi="VIC"/>
                <w:sz w:val="18"/>
                <w:szCs w:val="18"/>
              </w:rPr>
            </w:pPr>
            <w:r w:rsidRPr="001E2423">
              <w:rPr>
                <w:rFonts w:ascii="VIC" w:eastAsia="Verdana" w:hAnsi="VIC"/>
                <w:color w:val="000000"/>
                <w:sz w:val="18"/>
                <w:szCs w:val="18"/>
              </w:rPr>
              <w:t>15.0</w:t>
            </w:r>
          </w:p>
        </w:tc>
        <w:tc>
          <w:tcPr>
            <w:tcW w:w="1108" w:type="dxa"/>
            <w:shd w:val="clear" w:color="auto" w:fill="BFCED6"/>
          </w:tcPr>
          <w:p w14:paraId="3345BD60" w14:textId="5C6B91A6" w:rsidR="00AC5C83" w:rsidRPr="00BF031D" w:rsidRDefault="00AC5C83" w:rsidP="00AC5C83">
            <w:pPr>
              <w:jc w:val="center"/>
              <w:rPr>
                <w:rFonts w:ascii="VIC" w:hAnsi="VIC"/>
                <w:sz w:val="18"/>
                <w:szCs w:val="18"/>
              </w:rPr>
            </w:pPr>
            <w:r w:rsidRPr="001E2423">
              <w:rPr>
                <w:rFonts w:ascii="VIC" w:eastAsia="Verdana" w:hAnsi="VIC"/>
                <w:color w:val="000000"/>
                <w:sz w:val="18"/>
                <w:szCs w:val="18"/>
              </w:rPr>
              <w:t>38 %</w:t>
            </w:r>
          </w:p>
        </w:tc>
        <w:tc>
          <w:tcPr>
            <w:tcW w:w="1108" w:type="dxa"/>
            <w:shd w:val="clear" w:color="auto" w:fill="BFCED6"/>
          </w:tcPr>
          <w:p w14:paraId="157ECF63" w14:textId="3B15A5EA" w:rsidR="00AC5C83" w:rsidRPr="00BF031D" w:rsidRDefault="00AC5C83" w:rsidP="00AC5C83">
            <w:pPr>
              <w:jc w:val="center"/>
              <w:rPr>
                <w:rFonts w:ascii="VIC" w:hAnsi="VIC"/>
                <w:sz w:val="18"/>
                <w:szCs w:val="18"/>
              </w:rPr>
            </w:pPr>
            <w:r w:rsidRPr="001E2423">
              <w:rPr>
                <w:rFonts w:ascii="VIC" w:eastAsia="Verdana" w:hAnsi="VIC"/>
                <w:color w:val="000000"/>
                <w:sz w:val="18"/>
                <w:szCs w:val="18"/>
              </w:rPr>
              <w:t>10 %</w:t>
            </w:r>
          </w:p>
        </w:tc>
        <w:tc>
          <w:tcPr>
            <w:tcW w:w="1108" w:type="dxa"/>
            <w:shd w:val="clear" w:color="auto" w:fill="BFCED6"/>
          </w:tcPr>
          <w:p w14:paraId="3CE6D5B1" w14:textId="488AE211" w:rsidR="00AC5C83" w:rsidRPr="00BF031D" w:rsidRDefault="00AC5C83" w:rsidP="00AC5C83">
            <w:pPr>
              <w:jc w:val="center"/>
              <w:rPr>
                <w:rFonts w:ascii="VIC" w:hAnsi="VIC"/>
                <w:sz w:val="18"/>
                <w:szCs w:val="18"/>
              </w:rPr>
            </w:pPr>
            <w:r w:rsidRPr="001E2423">
              <w:rPr>
                <w:rFonts w:ascii="VIC" w:eastAsia="Verdana" w:hAnsi="VIC"/>
                <w:color w:val="000000"/>
                <w:sz w:val="18"/>
                <w:szCs w:val="18"/>
              </w:rPr>
              <w:t>1.3</w:t>
            </w:r>
          </w:p>
        </w:tc>
        <w:tc>
          <w:tcPr>
            <w:tcW w:w="1109" w:type="dxa"/>
            <w:shd w:val="clear" w:color="auto" w:fill="BFCED6"/>
          </w:tcPr>
          <w:p w14:paraId="7EA0C123" w14:textId="53E5B42D" w:rsidR="00AC5C83" w:rsidRPr="00BF031D" w:rsidRDefault="00AC5C83" w:rsidP="00AC5C83">
            <w:pPr>
              <w:jc w:val="center"/>
              <w:rPr>
                <w:rFonts w:ascii="VIC" w:hAnsi="VIC"/>
                <w:sz w:val="18"/>
                <w:szCs w:val="18"/>
              </w:rPr>
            </w:pPr>
            <w:r w:rsidRPr="001E2423">
              <w:rPr>
                <w:rFonts w:ascii="VIC" w:eastAsia="Verdana" w:hAnsi="VIC"/>
                <w:color w:val="000000"/>
                <w:sz w:val="18"/>
                <w:szCs w:val="18"/>
              </w:rPr>
              <w:t>13 %</w:t>
            </w:r>
          </w:p>
        </w:tc>
      </w:tr>
      <w:tr w:rsidR="00AC5C83" w:rsidRPr="00BF031D" w14:paraId="7A3EF1D5" w14:textId="77777777" w:rsidTr="009D3084">
        <w:trPr>
          <w:trHeight w:val="454"/>
        </w:trPr>
        <w:tc>
          <w:tcPr>
            <w:tcW w:w="1570" w:type="dxa"/>
            <w:vMerge/>
            <w:shd w:val="clear" w:color="auto" w:fill="BFCED6"/>
          </w:tcPr>
          <w:p w14:paraId="75D31CE6" w14:textId="77777777" w:rsidR="00AC5C83" w:rsidRPr="00A83248" w:rsidRDefault="00AC5C83" w:rsidP="00AC5C83">
            <w:pPr>
              <w:pStyle w:val="DHHStabletext"/>
              <w:spacing w:before="0" w:after="0"/>
              <w:rPr>
                <w:rFonts w:ascii="VIC" w:eastAsia="Verdana" w:hAnsi="VIC"/>
                <w:color w:val="000000"/>
                <w:sz w:val="18"/>
              </w:rPr>
            </w:pPr>
          </w:p>
        </w:tc>
        <w:tc>
          <w:tcPr>
            <w:tcW w:w="1985" w:type="dxa"/>
            <w:shd w:val="clear" w:color="auto" w:fill="BFCED6"/>
          </w:tcPr>
          <w:p w14:paraId="3F0890CD" w14:textId="1DEBED7D" w:rsidR="00AC5C83" w:rsidRPr="00A83248" w:rsidRDefault="00AC5C83" w:rsidP="00AC5C83">
            <w:pPr>
              <w:pStyle w:val="DHHStabletext"/>
              <w:spacing w:before="0" w:after="0"/>
              <w:rPr>
                <w:rFonts w:ascii="VIC" w:eastAsia="Verdana" w:hAnsi="VIC"/>
                <w:color w:val="000000"/>
                <w:sz w:val="18"/>
              </w:rPr>
            </w:pPr>
            <w:r w:rsidRPr="001E2423">
              <w:rPr>
                <w:rFonts w:ascii="VIC" w:eastAsia="Verdana" w:hAnsi="VIC"/>
                <w:color w:val="000000"/>
                <w:sz w:val="18"/>
                <w:szCs w:val="18"/>
              </w:rPr>
              <w:t>North East &amp; Border</w:t>
            </w:r>
          </w:p>
        </w:tc>
        <w:tc>
          <w:tcPr>
            <w:tcW w:w="1108" w:type="dxa"/>
            <w:shd w:val="clear" w:color="auto" w:fill="BFCED6"/>
          </w:tcPr>
          <w:p w14:paraId="46A7DC05" w14:textId="1F7A1D42" w:rsidR="00AC5C83" w:rsidRPr="00BF031D" w:rsidRDefault="00AC5C83" w:rsidP="00AC5C83">
            <w:pPr>
              <w:jc w:val="center"/>
              <w:rPr>
                <w:rFonts w:ascii="VIC" w:hAnsi="VIC"/>
                <w:sz w:val="18"/>
                <w:szCs w:val="18"/>
              </w:rPr>
            </w:pPr>
            <w:r w:rsidRPr="001E2423">
              <w:rPr>
                <w:rFonts w:ascii="VIC" w:eastAsia="Verdana" w:hAnsi="VIC"/>
                <w:color w:val="000000"/>
                <w:sz w:val="18"/>
                <w:szCs w:val="18"/>
              </w:rPr>
              <w:t>66 %</w:t>
            </w:r>
          </w:p>
        </w:tc>
        <w:tc>
          <w:tcPr>
            <w:tcW w:w="1108" w:type="dxa"/>
            <w:shd w:val="clear" w:color="auto" w:fill="BFCED6"/>
          </w:tcPr>
          <w:p w14:paraId="30B07399" w14:textId="526DA11E" w:rsidR="00AC5C83" w:rsidRPr="00BF031D" w:rsidRDefault="00AC5C83" w:rsidP="00AC5C83">
            <w:pPr>
              <w:jc w:val="center"/>
              <w:rPr>
                <w:rFonts w:ascii="VIC" w:hAnsi="VIC"/>
                <w:sz w:val="18"/>
                <w:szCs w:val="18"/>
              </w:rPr>
            </w:pPr>
            <w:r w:rsidRPr="001E2423">
              <w:rPr>
                <w:rFonts w:ascii="VIC" w:eastAsia="Verdana" w:hAnsi="VIC"/>
                <w:color w:val="000000"/>
                <w:sz w:val="18"/>
                <w:szCs w:val="18"/>
              </w:rPr>
              <w:t>75 %</w:t>
            </w:r>
          </w:p>
        </w:tc>
        <w:tc>
          <w:tcPr>
            <w:tcW w:w="1108" w:type="dxa"/>
            <w:shd w:val="clear" w:color="auto" w:fill="BFCED6"/>
          </w:tcPr>
          <w:p w14:paraId="7C4F8EDE" w14:textId="49C44D5A" w:rsidR="00AC5C83" w:rsidRPr="00BF031D" w:rsidRDefault="00AC5C83" w:rsidP="00AC5C83">
            <w:pPr>
              <w:jc w:val="center"/>
              <w:rPr>
                <w:rFonts w:ascii="VIC" w:hAnsi="VIC"/>
                <w:sz w:val="18"/>
                <w:szCs w:val="18"/>
              </w:rPr>
            </w:pPr>
            <w:r w:rsidRPr="001E2423">
              <w:rPr>
                <w:rFonts w:ascii="VIC" w:eastAsia="Verdana" w:hAnsi="VIC"/>
                <w:color w:val="000000"/>
                <w:sz w:val="18"/>
                <w:szCs w:val="18"/>
              </w:rPr>
              <w:t>14 %</w:t>
            </w:r>
          </w:p>
        </w:tc>
        <w:tc>
          <w:tcPr>
            <w:tcW w:w="1108" w:type="dxa"/>
            <w:shd w:val="clear" w:color="auto" w:fill="BFCED6"/>
          </w:tcPr>
          <w:p w14:paraId="1328D622" w14:textId="256AA3B9" w:rsidR="00AC5C83" w:rsidRPr="00BF031D" w:rsidRDefault="00AC5C83" w:rsidP="00AC5C83">
            <w:pPr>
              <w:jc w:val="center"/>
              <w:rPr>
                <w:rFonts w:ascii="VIC" w:hAnsi="VIC"/>
                <w:sz w:val="18"/>
                <w:szCs w:val="18"/>
              </w:rPr>
            </w:pPr>
            <w:r w:rsidRPr="001E2423">
              <w:rPr>
                <w:rFonts w:ascii="VIC" w:eastAsia="Verdana" w:hAnsi="VIC"/>
                <w:color w:val="000000"/>
                <w:sz w:val="18"/>
                <w:szCs w:val="18"/>
              </w:rPr>
              <w:t>105.6</w:t>
            </w:r>
          </w:p>
        </w:tc>
        <w:tc>
          <w:tcPr>
            <w:tcW w:w="1108" w:type="dxa"/>
            <w:shd w:val="clear" w:color="auto" w:fill="BFCED6"/>
          </w:tcPr>
          <w:p w14:paraId="20AB9704" w14:textId="32CC6CC7" w:rsidR="00AC5C83" w:rsidRPr="00BF031D" w:rsidRDefault="00AC5C83" w:rsidP="00AC5C83">
            <w:pPr>
              <w:jc w:val="center"/>
              <w:rPr>
                <w:rFonts w:ascii="VIC" w:hAnsi="VIC"/>
                <w:sz w:val="18"/>
                <w:szCs w:val="18"/>
              </w:rPr>
            </w:pPr>
            <w:r w:rsidRPr="001E2423">
              <w:rPr>
                <w:rFonts w:ascii="VIC" w:eastAsia="Verdana" w:hAnsi="VIC"/>
                <w:color w:val="000000"/>
                <w:sz w:val="18"/>
                <w:szCs w:val="18"/>
              </w:rPr>
              <w:t>1.7</w:t>
            </w:r>
          </w:p>
        </w:tc>
        <w:tc>
          <w:tcPr>
            <w:tcW w:w="1109" w:type="dxa"/>
            <w:shd w:val="clear" w:color="auto" w:fill="BFCED6"/>
          </w:tcPr>
          <w:p w14:paraId="71CD44EC" w14:textId="323D27AE" w:rsidR="00AC5C83" w:rsidRPr="00BF031D" w:rsidRDefault="00AC5C83" w:rsidP="00AC5C83">
            <w:pPr>
              <w:jc w:val="center"/>
              <w:rPr>
                <w:rFonts w:ascii="VIC" w:hAnsi="VIC"/>
                <w:sz w:val="18"/>
                <w:szCs w:val="18"/>
              </w:rPr>
            </w:pPr>
            <w:r w:rsidRPr="001E2423">
              <w:rPr>
                <w:rFonts w:ascii="VIC" w:eastAsia="Verdana" w:hAnsi="VIC"/>
                <w:color w:val="000000"/>
                <w:sz w:val="18"/>
                <w:szCs w:val="18"/>
              </w:rPr>
              <w:t>45 %</w:t>
            </w:r>
          </w:p>
        </w:tc>
        <w:tc>
          <w:tcPr>
            <w:tcW w:w="1108" w:type="dxa"/>
            <w:shd w:val="clear" w:color="auto" w:fill="BFCED6"/>
          </w:tcPr>
          <w:p w14:paraId="6ADA1515" w14:textId="6CB4647C" w:rsidR="00AC5C83" w:rsidRPr="00BF031D" w:rsidRDefault="00AC5C83" w:rsidP="00AC5C83">
            <w:pPr>
              <w:jc w:val="center"/>
              <w:rPr>
                <w:rFonts w:ascii="VIC" w:hAnsi="VIC"/>
                <w:sz w:val="18"/>
                <w:szCs w:val="18"/>
              </w:rPr>
            </w:pPr>
            <w:r w:rsidRPr="001E2423">
              <w:rPr>
                <w:rFonts w:ascii="VIC" w:eastAsia="Verdana" w:hAnsi="VIC"/>
                <w:color w:val="000000"/>
                <w:sz w:val="18"/>
                <w:szCs w:val="18"/>
              </w:rPr>
              <w:t>16.2</w:t>
            </w:r>
          </w:p>
        </w:tc>
        <w:tc>
          <w:tcPr>
            <w:tcW w:w="1108" w:type="dxa"/>
            <w:shd w:val="clear" w:color="auto" w:fill="BFCED6"/>
          </w:tcPr>
          <w:p w14:paraId="4B67B081" w14:textId="450DBD12" w:rsidR="00AC5C83" w:rsidRPr="00BF031D" w:rsidRDefault="00AC5C83" w:rsidP="00AC5C83">
            <w:pPr>
              <w:jc w:val="center"/>
              <w:rPr>
                <w:rFonts w:ascii="VIC" w:hAnsi="VIC"/>
                <w:sz w:val="18"/>
                <w:szCs w:val="18"/>
              </w:rPr>
            </w:pPr>
            <w:r w:rsidRPr="001E2423">
              <w:rPr>
                <w:rFonts w:ascii="VIC" w:eastAsia="Verdana" w:hAnsi="VIC"/>
                <w:color w:val="000000"/>
                <w:sz w:val="18"/>
                <w:szCs w:val="18"/>
              </w:rPr>
              <w:t>60 %</w:t>
            </w:r>
          </w:p>
        </w:tc>
        <w:tc>
          <w:tcPr>
            <w:tcW w:w="1108" w:type="dxa"/>
            <w:shd w:val="clear" w:color="auto" w:fill="BFCED6"/>
          </w:tcPr>
          <w:p w14:paraId="63EB11AA" w14:textId="1F6B29F0" w:rsidR="00AC5C83" w:rsidRPr="00BF031D" w:rsidRDefault="00AC5C83" w:rsidP="00AC5C83">
            <w:pPr>
              <w:jc w:val="center"/>
              <w:rPr>
                <w:rFonts w:ascii="VIC" w:hAnsi="VIC"/>
                <w:sz w:val="18"/>
                <w:szCs w:val="18"/>
              </w:rPr>
            </w:pPr>
            <w:r w:rsidRPr="001E2423">
              <w:rPr>
                <w:rFonts w:ascii="VIC" w:eastAsia="Verdana" w:hAnsi="VIC"/>
                <w:color w:val="000000"/>
                <w:sz w:val="18"/>
                <w:szCs w:val="18"/>
              </w:rPr>
              <w:t>60 %</w:t>
            </w:r>
          </w:p>
        </w:tc>
        <w:tc>
          <w:tcPr>
            <w:tcW w:w="1108" w:type="dxa"/>
            <w:shd w:val="clear" w:color="auto" w:fill="BFCED6"/>
          </w:tcPr>
          <w:p w14:paraId="4C118791" w14:textId="14CB9AAF" w:rsidR="00AC5C83" w:rsidRPr="00BF031D" w:rsidRDefault="00AC5C83" w:rsidP="00AC5C83">
            <w:pPr>
              <w:jc w:val="center"/>
              <w:rPr>
                <w:rFonts w:ascii="VIC" w:hAnsi="VIC"/>
                <w:sz w:val="18"/>
                <w:szCs w:val="18"/>
              </w:rPr>
            </w:pPr>
            <w:r w:rsidRPr="001E2423">
              <w:rPr>
                <w:rFonts w:ascii="VIC" w:eastAsia="Verdana" w:hAnsi="VIC"/>
                <w:color w:val="000000"/>
                <w:sz w:val="18"/>
                <w:szCs w:val="18"/>
              </w:rPr>
              <w:t>2.1</w:t>
            </w:r>
          </w:p>
        </w:tc>
        <w:tc>
          <w:tcPr>
            <w:tcW w:w="1109" w:type="dxa"/>
            <w:shd w:val="clear" w:color="auto" w:fill="BFCED6"/>
          </w:tcPr>
          <w:p w14:paraId="578A933A" w14:textId="4936CFAC" w:rsidR="00AC5C83" w:rsidRPr="00BF031D" w:rsidRDefault="00AC5C83" w:rsidP="00AC5C83">
            <w:pPr>
              <w:jc w:val="center"/>
              <w:rPr>
                <w:rFonts w:ascii="VIC" w:hAnsi="VIC"/>
                <w:sz w:val="18"/>
                <w:szCs w:val="18"/>
              </w:rPr>
            </w:pPr>
            <w:r w:rsidRPr="001E2423">
              <w:rPr>
                <w:rFonts w:ascii="VIC" w:eastAsia="Verdana" w:hAnsi="VIC"/>
                <w:color w:val="000000"/>
                <w:sz w:val="18"/>
                <w:szCs w:val="18"/>
              </w:rPr>
              <w:t>33 %</w:t>
            </w:r>
          </w:p>
        </w:tc>
      </w:tr>
      <w:tr w:rsidR="00AC5C83" w:rsidRPr="00BF031D" w14:paraId="0CD7B60E" w14:textId="77777777" w:rsidTr="009D3084">
        <w:trPr>
          <w:trHeight w:val="454"/>
        </w:trPr>
        <w:tc>
          <w:tcPr>
            <w:tcW w:w="1570" w:type="dxa"/>
            <w:shd w:val="clear" w:color="auto" w:fill="FFFFFF" w:themeFill="background1"/>
          </w:tcPr>
          <w:p w14:paraId="3E7FC64A" w14:textId="16F3B1E1" w:rsidR="00AC5C83" w:rsidRPr="000A7F1F"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South West Health</w:t>
            </w:r>
          </w:p>
        </w:tc>
        <w:tc>
          <w:tcPr>
            <w:tcW w:w="1985" w:type="dxa"/>
            <w:shd w:val="clear" w:color="auto" w:fill="FFFFFF" w:themeFill="background1"/>
          </w:tcPr>
          <w:p w14:paraId="46E6E11F" w14:textId="5FC24607" w:rsidR="00AC5C83" w:rsidRPr="000A7F1F" w:rsidRDefault="00AC5C83" w:rsidP="00AC5C83">
            <w:pPr>
              <w:pStyle w:val="DHHStabletext"/>
              <w:spacing w:before="0" w:after="0"/>
              <w:rPr>
                <w:rFonts w:ascii="VIC" w:eastAsia="Verdana" w:hAnsi="VIC"/>
                <w:color w:val="000000"/>
                <w:sz w:val="18"/>
                <w:szCs w:val="18"/>
              </w:rPr>
            </w:pPr>
            <w:r w:rsidRPr="001E2423">
              <w:rPr>
                <w:rFonts w:ascii="VIC" w:eastAsia="Verdana" w:hAnsi="VIC"/>
                <w:color w:val="000000"/>
                <w:sz w:val="18"/>
                <w:szCs w:val="18"/>
              </w:rPr>
              <w:t>South West Health Care</w:t>
            </w:r>
          </w:p>
        </w:tc>
        <w:tc>
          <w:tcPr>
            <w:tcW w:w="1108" w:type="dxa"/>
            <w:shd w:val="clear" w:color="auto" w:fill="FFFFFF" w:themeFill="background1"/>
          </w:tcPr>
          <w:p w14:paraId="22572CBE" w14:textId="56D94164" w:rsidR="00AC5C83" w:rsidRPr="00BF031D" w:rsidRDefault="00AC5C83" w:rsidP="00AC5C83">
            <w:pPr>
              <w:jc w:val="center"/>
              <w:rPr>
                <w:rFonts w:ascii="VIC" w:hAnsi="VIC"/>
                <w:sz w:val="18"/>
                <w:szCs w:val="18"/>
              </w:rPr>
            </w:pPr>
            <w:r w:rsidRPr="001E2423">
              <w:rPr>
                <w:rFonts w:ascii="VIC" w:eastAsia="Verdana" w:hAnsi="VIC"/>
                <w:color w:val="000000"/>
                <w:sz w:val="18"/>
                <w:szCs w:val="18"/>
              </w:rPr>
              <w:t>96 %</w:t>
            </w:r>
          </w:p>
        </w:tc>
        <w:tc>
          <w:tcPr>
            <w:tcW w:w="1108" w:type="dxa"/>
            <w:shd w:val="clear" w:color="auto" w:fill="FFFFFF" w:themeFill="background1"/>
          </w:tcPr>
          <w:p w14:paraId="055C3DA2" w14:textId="2EEBD799" w:rsidR="00AC5C83" w:rsidRPr="00BF031D" w:rsidRDefault="00AC5C83" w:rsidP="00AC5C83">
            <w:pPr>
              <w:jc w:val="center"/>
              <w:rPr>
                <w:rFonts w:ascii="VIC" w:hAnsi="VIC"/>
                <w:sz w:val="18"/>
                <w:szCs w:val="18"/>
              </w:rPr>
            </w:pPr>
            <w:r w:rsidRPr="001E2423">
              <w:rPr>
                <w:rFonts w:ascii="VIC" w:eastAsia="Verdana" w:hAnsi="VIC"/>
                <w:color w:val="000000"/>
                <w:sz w:val="18"/>
                <w:szCs w:val="18"/>
              </w:rPr>
              <w:t>97 %</w:t>
            </w:r>
          </w:p>
        </w:tc>
        <w:tc>
          <w:tcPr>
            <w:tcW w:w="1108" w:type="dxa"/>
            <w:shd w:val="clear" w:color="auto" w:fill="FFFFFF" w:themeFill="background1"/>
          </w:tcPr>
          <w:p w14:paraId="3EB523B4" w14:textId="23DAE2ED" w:rsidR="00AC5C83" w:rsidRPr="00BF031D" w:rsidRDefault="00AC5C83" w:rsidP="00AC5C83">
            <w:pPr>
              <w:jc w:val="center"/>
              <w:rPr>
                <w:rFonts w:ascii="VIC" w:hAnsi="VIC"/>
                <w:sz w:val="18"/>
                <w:szCs w:val="18"/>
              </w:rPr>
            </w:pPr>
            <w:r w:rsidRPr="001E2423">
              <w:rPr>
                <w:rFonts w:ascii="VIC" w:eastAsia="Verdana" w:hAnsi="VIC"/>
                <w:color w:val="000000"/>
                <w:sz w:val="18"/>
                <w:szCs w:val="18"/>
              </w:rPr>
              <w:t>12 %</w:t>
            </w:r>
          </w:p>
        </w:tc>
        <w:tc>
          <w:tcPr>
            <w:tcW w:w="1108" w:type="dxa"/>
            <w:shd w:val="clear" w:color="auto" w:fill="FFFFFF" w:themeFill="background1"/>
          </w:tcPr>
          <w:p w14:paraId="46277E8A" w14:textId="05409B24" w:rsidR="00AC5C83" w:rsidRPr="00BF031D" w:rsidRDefault="00AC5C83" w:rsidP="00AC5C83">
            <w:pPr>
              <w:jc w:val="center"/>
              <w:rPr>
                <w:rFonts w:ascii="VIC" w:hAnsi="VIC"/>
                <w:sz w:val="18"/>
                <w:szCs w:val="18"/>
              </w:rPr>
            </w:pPr>
            <w:r w:rsidRPr="001E2423">
              <w:rPr>
                <w:rFonts w:ascii="VIC" w:eastAsia="Verdana" w:hAnsi="VIC"/>
                <w:color w:val="000000"/>
                <w:sz w:val="18"/>
                <w:szCs w:val="18"/>
              </w:rPr>
              <w:t>313.6</w:t>
            </w:r>
          </w:p>
        </w:tc>
        <w:tc>
          <w:tcPr>
            <w:tcW w:w="1108" w:type="dxa"/>
            <w:shd w:val="clear" w:color="auto" w:fill="FFFFFF" w:themeFill="background1"/>
          </w:tcPr>
          <w:p w14:paraId="742E5F47" w14:textId="194AAECB" w:rsidR="00AC5C83" w:rsidRPr="00BF031D" w:rsidRDefault="00AC5C83" w:rsidP="00AC5C83">
            <w:pPr>
              <w:jc w:val="center"/>
              <w:rPr>
                <w:rFonts w:ascii="VIC" w:hAnsi="VIC"/>
                <w:sz w:val="18"/>
                <w:szCs w:val="18"/>
              </w:rPr>
            </w:pPr>
            <w:r w:rsidRPr="001E2423">
              <w:rPr>
                <w:rFonts w:ascii="VIC" w:eastAsia="Verdana" w:hAnsi="VIC"/>
                <w:color w:val="000000"/>
                <w:sz w:val="18"/>
                <w:szCs w:val="18"/>
              </w:rPr>
              <w:t>5.8</w:t>
            </w:r>
          </w:p>
        </w:tc>
        <w:tc>
          <w:tcPr>
            <w:tcW w:w="1109" w:type="dxa"/>
            <w:shd w:val="clear" w:color="auto" w:fill="FFFFFF" w:themeFill="background1"/>
          </w:tcPr>
          <w:p w14:paraId="320A1D41" w14:textId="31583309" w:rsidR="00AC5C83" w:rsidRPr="00BF031D" w:rsidRDefault="00AC5C83" w:rsidP="00AC5C83">
            <w:pPr>
              <w:jc w:val="center"/>
              <w:rPr>
                <w:rFonts w:ascii="VIC" w:hAnsi="VIC"/>
                <w:sz w:val="18"/>
                <w:szCs w:val="18"/>
              </w:rPr>
            </w:pPr>
            <w:r w:rsidRPr="001E2423">
              <w:rPr>
                <w:rFonts w:ascii="VIC" w:eastAsia="Verdana" w:hAnsi="VIC"/>
                <w:color w:val="000000"/>
                <w:sz w:val="18"/>
                <w:szCs w:val="18"/>
              </w:rPr>
              <w:t>61 %</w:t>
            </w:r>
          </w:p>
        </w:tc>
        <w:tc>
          <w:tcPr>
            <w:tcW w:w="1108" w:type="dxa"/>
            <w:shd w:val="clear" w:color="auto" w:fill="FFFFFF" w:themeFill="background1"/>
          </w:tcPr>
          <w:p w14:paraId="49112732" w14:textId="70377DEF" w:rsidR="00AC5C83" w:rsidRPr="00BF031D" w:rsidRDefault="00AC5C83" w:rsidP="00AC5C83">
            <w:pPr>
              <w:jc w:val="center"/>
              <w:rPr>
                <w:rFonts w:ascii="VIC" w:hAnsi="VIC"/>
                <w:sz w:val="18"/>
                <w:szCs w:val="18"/>
              </w:rPr>
            </w:pPr>
            <w:r w:rsidRPr="001E2423">
              <w:rPr>
                <w:rFonts w:ascii="VIC" w:eastAsia="Verdana" w:hAnsi="VIC"/>
                <w:color w:val="000000"/>
                <w:sz w:val="18"/>
                <w:szCs w:val="18"/>
              </w:rPr>
              <w:t>15.9</w:t>
            </w:r>
          </w:p>
        </w:tc>
        <w:tc>
          <w:tcPr>
            <w:tcW w:w="1108" w:type="dxa"/>
            <w:shd w:val="clear" w:color="auto" w:fill="FFFFFF" w:themeFill="background1"/>
          </w:tcPr>
          <w:p w14:paraId="3219882D" w14:textId="0C939F5E" w:rsidR="00AC5C83" w:rsidRPr="00BF031D" w:rsidRDefault="00AC5C83" w:rsidP="00AC5C83">
            <w:pPr>
              <w:jc w:val="center"/>
              <w:rPr>
                <w:rFonts w:ascii="VIC" w:hAnsi="VIC"/>
                <w:sz w:val="18"/>
                <w:szCs w:val="18"/>
              </w:rPr>
            </w:pPr>
            <w:r w:rsidRPr="001E2423">
              <w:rPr>
                <w:rFonts w:ascii="VIC" w:eastAsia="Verdana" w:hAnsi="VIC"/>
                <w:color w:val="000000"/>
                <w:sz w:val="18"/>
                <w:szCs w:val="18"/>
              </w:rPr>
              <w:t>64 %</w:t>
            </w:r>
          </w:p>
        </w:tc>
        <w:tc>
          <w:tcPr>
            <w:tcW w:w="1108" w:type="dxa"/>
            <w:shd w:val="clear" w:color="auto" w:fill="FFFFFF" w:themeFill="background1"/>
          </w:tcPr>
          <w:p w14:paraId="1889E61D" w14:textId="6C9035D1" w:rsidR="00AC5C83" w:rsidRPr="00BF031D" w:rsidRDefault="00AC5C83" w:rsidP="00AC5C83">
            <w:pPr>
              <w:jc w:val="center"/>
              <w:rPr>
                <w:rFonts w:ascii="VIC" w:hAnsi="VIC"/>
                <w:sz w:val="18"/>
                <w:szCs w:val="18"/>
              </w:rPr>
            </w:pPr>
            <w:r w:rsidRPr="001E2423">
              <w:rPr>
                <w:rFonts w:ascii="VIC" w:eastAsia="Verdana" w:hAnsi="VIC"/>
                <w:color w:val="000000"/>
                <w:sz w:val="18"/>
                <w:szCs w:val="18"/>
              </w:rPr>
              <w:t>46 %</w:t>
            </w:r>
          </w:p>
        </w:tc>
        <w:tc>
          <w:tcPr>
            <w:tcW w:w="1108" w:type="dxa"/>
            <w:shd w:val="clear" w:color="auto" w:fill="FFFFFF" w:themeFill="background1"/>
          </w:tcPr>
          <w:p w14:paraId="7D4DB01C" w14:textId="4E0586E9" w:rsidR="00AC5C83" w:rsidRPr="00BF031D" w:rsidRDefault="00AC5C83" w:rsidP="00AC5C83">
            <w:pPr>
              <w:jc w:val="center"/>
              <w:rPr>
                <w:rFonts w:ascii="VIC" w:hAnsi="VIC"/>
                <w:sz w:val="18"/>
                <w:szCs w:val="18"/>
              </w:rPr>
            </w:pPr>
            <w:r w:rsidRPr="001E2423">
              <w:rPr>
                <w:rFonts w:ascii="VIC" w:eastAsia="Verdana" w:hAnsi="VIC"/>
                <w:color w:val="000000"/>
                <w:sz w:val="18"/>
                <w:szCs w:val="18"/>
              </w:rPr>
              <w:t>2.6</w:t>
            </w:r>
          </w:p>
        </w:tc>
        <w:tc>
          <w:tcPr>
            <w:tcW w:w="1109" w:type="dxa"/>
            <w:shd w:val="clear" w:color="auto" w:fill="FFFFFF" w:themeFill="background1"/>
          </w:tcPr>
          <w:p w14:paraId="286A309D" w14:textId="621DD8FE" w:rsidR="00AC5C83" w:rsidRPr="00BF031D" w:rsidRDefault="00AC5C83" w:rsidP="00AC5C83">
            <w:pPr>
              <w:jc w:val="center"/>
              <w:rPr>
                <w:rFonts w:ascii="VIC" w:hAnsi="VIC"/>
                <w:sz w:val="18"/>
                <w:szCs w:val="18"/>
              </w:rPr>
            </w:pPr>
            <w:r w:rsidRPr="001E2423">
              <w:rPr>
                <w:rFonts w:ascii="VIC" w:eastAsia="Verdana" w:hAnsi="VIC"/>
                <w:color w:val="000000"/>
                <w:sz w:val="18"/>
                <w:szCs w:val="18"/>
              </w:rPr>
              <w:t>28 %</w:t>
            </w:r>
          </w:p>
        </w:tc>
      </w:tr>
      <w:tr w:rsidR="00AC5C83" w:rsidRPr="00AC5C83" w14:paraId="5AFD3DCF" w14:textId="77777777" w:rsidTr="009D3084">
        <w:trPr>
          <w:trHeight w:val="454"/>
        </w:trPr>
        <w:tc>
          <w:tcPr>
            <w:tcW w:w="1570" w:type="dxa"/>
            <w:shd w:val="clear" w:color="auto" w:fill="B1C9E8"/>
          </w:tcPr>
          <w:p w14:paraId="4A6FE158" w14:textId="4A294B0B"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TOTAL RURAL</w:t>
            </w:r>
          </w:p>
        </w:tc>
        <w:tc>
          <w:tcPr>
            <w:tcW w:w="1985" w:type="dxa"/>
            <w:shd w:val="clear" w:color="auto" w:fill="B1C9E8"/>
          </w:tcPr>
          <w:p w14:paraId="4124D7E4" w14:textId="450147CA" w:rsidR="00AC5C83" w:rsidRPr="00AC5C83" w:rsidRDefault="00AC5C83" w:rsidP="00AC5C83">
            <w:pPr>
              <w:pStyle w:val="DHHStabletext"/>
              <w:spacing w:before="0" w:after="0"/>
              <w:rPr>
                <w:rFonts w:ascii="VIC SemiBold" w:eastAsia="Verdana" w:hAnsi="VIC SemiBold" w:cs="Verdana"/>
                <w:color w:val="000000" w:themeColor="text1"/>
                <w:sz w:val="18"/>
                <w:szCs w:val="18"/>
              </w:rPr>
            </w:pPr>
            <w:r w:rsidRPr="00AC5C83">
              <w:rPr>
                <w:rFonts w:ascii="VIC" w:eastAsia="Verdana" w:hAnsi="VIC"/>
                <w:color w:val="000000" w:themeColor="text1"/>
                <w:sz w:val="18"/>
                <w:szCs w:val="18"/>
              </w:rPr>
              <w:t xml:space="preserve"> </w:t>
            </w:r>
          </w:p>
        </w:tc>
        <w:tc>
          <w:tcPr>
            <w:tcW w:w="1108" w:type="dxa"/>
            <w:shd w:val="clear" w:color="auto" w:fill="B1C9E8"/>
          </w:tcPr>
          <w:p w14:paraId="3D7B2763" w14:textId="791B9A7F"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63 %</w:t>
            </w:r>
          </w:p>
        </w:tc>
        <w:tc>
          <w:tcPr>
            <w:tcW w:w="1108" w:type="dxa"/>
            <w:shd w:val="clear" w:color="auto" w:fill="B1C9E8"/>
          </w:tcPr>
          <w:p w14:paraId="38A2C779" w14:textId="12F1BCE0"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85 %</w:t>
            </w:r>
          </w:p>
        </w:tc>
        <w:tc>
          <w:tcPr>
            <w:tcW w:w="1108" w:type="dxa"/>
            <w:shd w:val="clear" w:color="auto" w:fill="B1C9E8"/>
          </w:tcPr>
          <w:p w14:paraId="57CB43DF" w14:textId="7505E8DB"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12 %</w:t>
            </w:r>
          </w:p>
        </w:tc>
        <w:tc>
          <w:tcPr>
            <w:tcW w:w="1108" w:type="dxa"/>
            <w:shd w:val="clear" w:color="auto" w:fill="B1C9E8"/>
          </w:tcPr>
          <w:p w14:paraId="2BF7B6D4" w14:textId="1BC91625"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211.8</w:t>
            </w:r>
          </w:p>
        </w:tc>
        <w:tc>
          <w:tcPr>
            <w:tcW w:w="1108" w:type="dxa"/>
            <w:shd w:val="clear" w:color="auto" w:fill="B1C9E8"/>
          </w:tcPr>
          <w:p w14:paraId="592D9D4F" w14:textId="5AAE20CB"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4.9</w:t>
            </w:r>
          </w:p>
        </w:tc>
        <w:tc>
          <w:tcPr>
            <w:tcW w:w="1109" w:type="dxa"/>
            <w:shd w:val="clear" w:color="auto" w:fill="B1C9E8"/>
          </w:tcPr>
          <w:p w14:paraId="45F8C5AD" w14:textId="09D4961C"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61 %</w:t>
            </w:r>
          </w:p>
        </w:tc>
        <w:tc>
          <w:tcPr>
            <w:tcW w:w="1108" w:type="dxa"/>
            <w:shd w:val="clear" w:color="auto" w:fill="B1C9E8"/>
          </w:tcPr>
          <w:p w14:paraId="73C45FDA" w14:textId="0A1384C5"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16.3</w:t>
            </w:r>
          </w:p>
        </w:tc>
        <w:tc>
          <w:tcPr>
            <w:tcW w:w="1108" w:type="dxa"/>
            <w:shd w:val="clear" w:color="auto" w:fill="B1C9E8"/>
          </w:tcPr>
          <w:p w14:paraId="4F9E1E83" w14:textId="0B1D969F"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57 %</w:t>
            </w:r>
          </w:p>
        </w:tc>
        <w:tc>
          <w:tcPr>
            <w:tcW w:w="1108" w:type="dxa"/>
            <w:shd w:val="clear" w:color="auto" w:fill="B1C9E8"/>
          </w:tcPr>
          <w:p w14:paraId="00056C39" w14:textId="5EF64B7C"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32 %</w:t>
            </w:r>
          </w:p>
        </w:tc>
        <w:tc>
          <w:tcPr>
            <w:tcW w:w="1108" w:type="dxa"/>
            <w:shd w:val="clear" w:color="auto" w:fill="B1C9E8"/>
          </w:tcPr>
          <w:p w14:paraId="6B157802" w14:textId="7E98B67D"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1.8</w:t>
            </w:r>
          </w:p>
        </w:tc>
        <w:tc>
          <w:tcPr>
            <w:tcW w:w="1109" w:type="dxa"/>
            <w:shd w:val="clear" w:color="auto" w:fill="B1C9E8"/>
          </w:tcPr>
          <w:p w14:paraId="31A9D280" w14:textId="195631EC" w:rsidR="00AC5C83" w:rsidRPr="00AC5C83" w:rsidRDefault="00AC5C83" w:rsidP="00AC5C83">
            <w:pPr>
              <w:jc w:val="center"/>
              <w:rPr>
                <w:rFonts w:ascii="VIC SemiBold" w:hAnsi="VIC SemiBold"/>
                <w:color w:val="000000" w:themeColor="text1"/>
                <w:sz w:val="18"/>
                <w:szCs w:val="18"/>
              </w:rPr>
            </w:pPr>
            <w:r w:rsidRPr="00AC5C83">
              <w:rPr>
                <w:rFonts w:ascii="VIC" w:eastAsia="Verdana" w:hAnsi="VIC"/>
                <w:color w:val="000000" w:themeColor="text1"/>
                <w:sz w:val="18"/>
                <w:szCs w:val="18"/>
              </w:rPr>
              <w:t>28 %</w:t>
            </w:r>
          </w:p>
        </w:tc>
      </w:tr>
      <w:tr w:rsidR="00AC5C83" w:rsidRPr="00592F37" w14:paraId="068D26A8" w14:textId="77777777" w:rsidTr="009D3084">
        <w:trPr>
          <w:trHeight w:val="454"/>
        </w:trPr>
        <w:tc>
          <w:tcPr>
            <w:tcW w:w="1570" w:type="dxa"/>
            <w:shd w:val="clear" w:color="auto" w:fill="244C5A"/>
          </w:tcPr>
          <w:p w14:paraId="403908B7" w14:textId="37688712" w:rsidR="00AC5C83" w:rsidRPr="00592F37" w:rsidRDefault="00AC5C83" w:rsidP="00AC5C83">
            <w:pPr>
              <w:pStyle w:val="DHHStabletext"/>
              <w:spacing w:before="0" w:after="0"/>
              <w:rPr>
                <w:rFonts w:ascii="VIC SemiBold" w:eastAsia="Verdana" w:hAnsi="VIC SemiBold" w:cs="Verdana"/>
                <w:color w:val="FFFFFF" w:themeColor="background1"/>
                <w:sz w:val="18"/>
                <w:szCs w:val="18"/>
              </w:rPr>
            </w:pPr>
            <w:r w:rsidRPr="001E2423">
              <w:rPr>
                <w:rFonts w:ascii="VIC" w:eastAsia="Verdana" w:hAnsi="VIC"/>
                <w:color w:val="FFFFFF"/>
                <w:sz w:val="18"/>
                <w:szCs w:val="18"/>
              </w:rPr>
              <w:t>TOTAL STATEWIDE</w:t>
            </w:r>
          </w:p>
        </w:tc>
        <w:tc>
          <w:tcPr>
            <w:tcW w:w="1985" w:type="dxa"/>
            <w:shd w:val="clear" w:color="auto" w:fill="244C5A"/>
          </w:tcPr>
          <w:p w14:paraId="67101823" w14:textId="21DC31B8" w:rsidR="00AC5C83" w:rsidRPr="00592F37" w:rsidRDefault="00AC5C83" w:rsidP="00AC5C83">
            <w:pPr>
              <w:pStyle w:val="DHHStabletext"/>
              <w:spacing w:before="0" w:after="0"/>
              <w:rPr>
                <w:rFonts w:ascii="VIC SemiBold" w:eastAsia="Verdana" w:hAnsi="VIC SemiBold" w:cs="Verdana"/>
                <w:color w:val="FFFFFF" w:themeColor="background1"/>
                <w:sz w:val="18"/>
                <w:szCs w:val="18"/>
              </w:rPr>
            </w:pPr>
            <w:r w:rsidRPr="001E2423">
              <w:rPr>
                <w:rFonts w:ascii="VIC" w:eastAsia="Verdana" w:hAnsi="VIC"/>
                <w:color w:val="FFFFFF"/>
                <w:sz w:val="18"/>
                <w:szCs w:val="18"/>
              </w:rPr>
              <w:t xml:space="preserve"> </w:t>
            </w:r>
          </w:p>
        </w:tc>
        <w:tc>
          <w:tcPr>
            <w:tcW w:w="1108" w:type="dxa"/>
            <w:shd w:val="clear" w:color="auto" w:fill="244C5A"/>
          </w:tcPr>
          <w:p w14:paraId="6F7AF7BD" w14:textId="28A99CE7"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59 %</w:t>
            </w:r>
          </w:p>
        </w:tc>
        <w:tc>
          <w:tcPr>
            <w:tcW w:w="1108" w:type="dxa"/>
            <w:shd w:val="clear" w:color="auto" w:fill="244C5A"/>
          </w:tcPr>
          <w:p w14:paraId="5B7F059E" w14:textId="0CC924ED"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88 %</w:t>
            </w:r>
          </w:p>
        </w:tc>
        <w:tc>
          <w:tcPr>
            <w:tcW w:w="1108" w:type="dxa"/>
            <w:shd w:val="clear" w:color="auto" w:fill="244C5A"/>
          </w:tcPr>
          <w:p w14:paraId="33077742" w14:textId="07834CE6"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14 %</w:t>
            </w:r>
          </w:p>
        </w:tc>
        <w:tc>
          <w:tcPr>
            <w:tcW w:w="1108" w:type="dxa"/>
            <w:shd w:val="clear" w:color="auto" w:fill="244C5A"/>
          </w:tcPr>
          <w:p w14:paraId="4076F84B" w14:textId="06661CD4"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208.6</w:t>
            </w:r>
          </w:p>
        </w:tc>
        <w:tc>
          <w:tcPr>
            <w:tcW w:w="1108" w:type="dxa"/>
            <w:shd w:val="clear" w:color="auto" w:fill="244C5A"/>
          </w:tcPr>
          <w:p w14:paraId="2F201C81" w14:textId="634DCC28"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5.7</w:t>
            </w:r>
          </w:p>
        </w:tc>
        <w:tc>
          <w:tcPr>
            <w:tcW w:w="1109" w:type="dxa"/>
            <w:shd w:val="clear" w:color="auto" w:fill="244C5A"/>
          </w:tcPr>
          <w:p w14:paraId="7DF250BC" w14:textId="5A8EFCD8"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74 %</w:t>
            </w:r>
          </w:p>
        </w:tc>
        <w:tc>
          <w:tcPr>
            <w:tcW w:w="1108" w:type="dxa"/>
            <w:shd w:val="clear" w:color="auto" w:fill="244C5A"/>
          </w:tcPr>
          <w:p w14:paraId="54102E43" w14:textId="60A9EAE9"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16.8</w:t>
            </w:r>
          </w:p>
        </w:tc>
        <w:tc>
          <w:tcPr>
            <w:tcW w:w="1108" w:type="dxa"/>
            <w:shd w:val="clear" w:color="auto" w:fill="244C5A"/>
          </w:tcPr>
          <w:p w14:paraId="0BCBA4D2" w14:textId="02881485"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47 %</w:t>
            </w:r>
          </w:p>
        </w:tc>
        <w:tc>
          <w:tcPr>
            <w:tcW w:w="1108" w:type="dxa"/>
            <w:shd w:val="clear" w:color="auto" w:fill="244C5A"/>
          </w:tcPr>
          <w:p w14:paraId="1E7ED605" w14:textId="2EEBDE63"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36 %</w:t>
            </w:r>
          </w:p>
        </w:tc>
        <w:tc>
          <w:tcPr>
            <w:tcW w:w="1108" w:type="dxa"/>
            <w:shd w:val="clear" w:color="auto" w:fill="244C5A"/>
          </w:tcPr>
          <w:p w14:paraId="02E54D78" w14:textId="2815A202"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1.3</w:t>
            </w:r>
          </w:p>
        </w:tc>
        <w:tc>
          <w:tcPr>
            <w:tcW w:w="1109" w:type="dxa"/>
            <w:shd w:val="clear" w:color="auto" w:fill="244C5A"/>
          </w:tcPr>
          <w:p w14:paraId="31D9AB4B" w14:textId="2DF35C96" w:rsidR="00AC5C83" w:rsidRPr="00592F37" w:rsidRDefault="00AC5C83" w:rsidP="00AC5C83">
            <w:pPr>
              <w:jc w:val="center"/>
              <w:rPr>
                <w:rFonts w:ascii="VIC SemiBold" w:hAnsi="VIC SemiBold"/>
                <w:color w:val="FFFFFF" w:themeColor="background1"/>
                <w:sz w:val="18"/>
                <w:szCs w:val="18"/>
              </w:rPr>
            </w:pPr>
            <w:r w:rsidRPr="001E2423">
              <w:rPr>
                <w:rFonts w:ascii="VIC" w:eastAsia="Verdana" w:hAnsi="VIC"/>
                <w:color w:val="FFFFFF"/>
                <w:sz w:val="18"/>
                <w:szCs w:val="18"/>
              </w:rPr>
              <w:t>28 %</w:t>
            </w:r>
          </w:p>
        </w:tc>
      </w:tr>
    </w:tbl>
    <w:p w14:paraId="5A47FE46" w14:textId="77777777" w:rsidR="0069621D" w:rsidRPr="0069621D" w:rsidRDefault="0069621D">
      <w:pPr>
        <w:rPr>
          <w:sz w:val="14"/>
        </w:rPr>
      </w:pPr>
    </w:p>
    <w:p w14:paraId="162C6D25" w14:textId="6C822B8D" w:rsidR="00CF11E1" w:rsidRDefault="005A5E67" w:rsidP="00E36C2D">
      <w:pPr>
        <w:pStyle w:val="Heading1"/>
        <w:rPr>
          <w:sz w:val="22"/>
          <w:szCs w:val="22"/>
        </w:rPr>
      </w:pPr>
      <w:bookmarkStart w:id="9" w:name="_Toc45898292"/>
      <w:r>
        <w:rPr>
          <w:sz w:val="22"/>
          <w:szCs w:val="22"/>
        </w:rPr>
        <w:t>Indicator descriptions and notes</w:t>
      </w:r>
      <w:bookmarkEnd w:id="9"/>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67289E" w:rsidRPr="0069621D" w14:paraId="1B57C156" w14:textId="77777777" w:rsidTr="000B0CCC">
        <w:trPr>
          <w:cantSplit/>
        </w:trPr>
        <w:tc>
          <w:tcPr>
            <w:tcW w:w="1702" w:type="dxa"/>
            <w:shd w:val="clear" w:color="auto" w:fill="auto"/>
          </w:tcPr>
          <w:p w14:paraId="2927A24D" w14:textId="2A1F1FE4" w:rsidR="0067289E" w:rsidRPr="00E52673" w:rsidRDefault="0067289E" w:rsidP="0067289E">
            <w:pPr>
              <w:pStyle w:val="VAHItabletext"/>
              <w:rPr>
                <w:color w:val="696969"/>
                <w:szCs w:val="18"/>
              </w:rPr>
            </w:pPr>
            <w:r w:rsidRPr="00E52673">
              <w:rPr>
                <w:color w:val="696969"/>
              </w:rPr>
              <w:t>Inpatient</w:t>
            </w:r>
          </w:p>
        </w:tc>
        <w:tc>
          <w:tcPr>
            <w:tcW w:w="1842" w:type="dxa"/>
          </w:tcPr>
          <w:p w14:paraId="708A1C17" w14:textId="23395BE4" w:rsidR="0067289E" w:rsidRPr="00E52673" w:rsidRDefault="0067289E" w:rsidP="0067289E">
            <w:pPr>
              <w:pStyle w:val="VAHItabletext"/>
              <w:rPr>
                <w:rFonts w:eastAsia="Verdana" w:cs="Verdana"/>
                <w:color w:val="696969"/>
                <w:szCs w:val="18"/>
              </w:rPr>
            </w:pPr>
            <w:r w:rsidRPr="00E52673">
              <w:rPr>
                <w:color w:val="696969"/>
              </w:rPr>
              <w:t>Beds per 10,000 population (metro)</w:t>
            </w:r>
          </w:p>
        </w:tc>
        <w:tc>
          <w:tcPr>
            <w:tcW w:w="5103" w:type="dxa"/>
          </w:tcPr>
          <w:p w14:paraId="7D64A06D" w14:textId="56A66B5C" w:rsidR="0067289E" w:rsidRPr="00E52673" w:rsidRDefault="0067289E" w:rsidP="0067289E">
            <w:pPr>
              <w:pStyle w:val="VAHItabletext"/>
              <w:rPr>
                <w:rFonts w:eastAsia="Verdana" w:cs="Verdana"/>
                <w:color w:val="696969"/>
                <w:szCs w:val="18"/>
              </w:rPr>
            </w:pPr>
            <w:r w:rsidRPr="00E52673">
              <w:rPr>
                <w:color w:val="696969"/>
              </w:rPr>
              <w:t>Number of funded adolescent mental health inpatient beds per 10,000 population aged 13 to 17 years in the area mental health service (metropolitan).</w:t>
            </w:r>
          </w:p>
        </w:tc>
        <w:tc>
          <w:tcPr>
            <w:tcW w:w="1559" w:type="dxa"/>
          </w:tcPr>
          <w:p w14:paraId="186B8264" w14:textId="77777777" w:rsidR="0067289E" w:rsidRPr="00E52673" w:rsidRDefault="0067289E" w:rsidP="0067289E">
            <w:pPr>
              <w:pStyle w:val="VAHItabletext"/>
              <w:rPr>
                <w:color w:val="696969"/>
                <w:szCs w:val="18"/>
              </w:rPr>
            </w:pPr>
          </w:p>
        </w:tc>
        <w:tc>
          <w:tcPr>
            <w:tcW w:w="4820" w:type="dxa"/>
          </w:tcPr>
          <w:p w14:paraId="6F75F57D" w14:textId="497181E3" w:rsidR="0067289E" w:rsidRPr="00E52673" w:rsidRDefault="0067289E" w:rsidP="0067289E">
            <w:pPr>
              <w:pStyle w:val="VAHItabletext"/>
              <w:rPr>
                <w:rFonts w:eastAsia="Verdana" w:cs="Verdana"/>
                <w:color w:val="696969"/>
                <w:szCs w:val="18"/>
              </w:rPr>
            </w:pPr>
            <w:r w:rsidRPr="00E52673">
              <w:rPr>
                <w:color w:val="696969"/>
              </w:rPr>
              <w:t>Population estimates are based on Victoria in Future 2016.</w:t>
            </w:r>
          </w:p>
        </w:tc>
      </w:tr>
      <w:tr w:rsidR="0067289E" w:rsidRPr="0069621D" w14:paraId="16D49F57" w14:textId="77777777" w:rsidTr="000B0CCC">
        <w:trPr>
          <w:cantSplit/>
        </w:trPr>
        <w:tc>
          <w:tcPr>
            <w:tcW w:w="1702" w:type="dxa"/>
            <w:shd w:val="clear" w:color="auto" w:fill="auto"/>
          </w:tcPr>
          <w:p w14:paraId="10A0BCB6" w14:textId="77777777" w:rsidR="0067289E" w:rsidRPr="00E52673" w:rsidRDefault="0067289E" w:rsidP="0067289E">
            <w:pPr>
              <w:pStyle w:val="VAHItabletext"/>
              <w:rPr>
                <w:color w:val="696969"/>
                <w:szCs w:val="18"/>
              </w:rPr>
            </w:pPr>
          </w:p>
        </w:tc>
        <w:tc>
          <w:tcPr>
            <w:tcW w:w="1842" w:type="dxa"/>
          </w:tcPr>
          <w:p w14:paraId="01745C00" w14:textId="24BC3907" w:rsidR="0067289E" w:rsidRPr="00E52673" w:rsidRDefault="0067289E" w:rsidP="0067289E">
            <w:pPr>
              <w:pStyle w:val="VAHItabletext"/>
              <w:rPr>
                <w:rFonts w:eastAsia="Verdana" w:cs="Verdana"/>
                <w:color w:val="696969"/>
                <w:szCs w:val="18"/>
              </w:rPr>
            </w:pPr>
            <w:r w:rsidRPr="00E52673">
              <w:rPr>
                <w:color w:val="696969"/>
              </w:rPr>
              <w:t>Trimmed average length of stay (≤35 days)</w:t>
            </w:r>
          </w:p>
        </w:tc>
        <w:tc>
          <w:tcPr>
            <w:tcW w:w="5103" w:type="dxa"/>
          </w:tcPr>
          <w:p w14:paraId="67FA2338" w14:textId="6ED44120" w:rsidR="0067289E" w:rsidRPr="00E52673" w:rsidRDefault="0067289E" w:rsidP="0067289E">
            <w:pPr>
              <w:pStyle w:val="VAHItabletext"/>
              <w:rPr>
                <w:rFonts w:eastAsia="Verdana" w:cs="Verdana"/>
                <w:color w:val="696969"/>
                <w:szCs w:val="18"/>
              </w:rPr>
            </w:pPr>
            <w:r w:rsidRPr="00E52673">
              <w:rPr>
                <w:color w:val="696969"/>
              </w:rPr>
              <w:t xml:space="preserve">Average length of stay (days) of separations from an </w:t>
            </w:r>
            <w:r w:rsidR="00766463" w:rsidRPr="00E52673">
              <w:rPr>
                <w:color w:val="696969"/>
              </w:rPr>
              <w:t>inpatient unit</w:t>
            </w:r>
            <w:r w:rsidRPr="00E52673">
              <w:rPr>
                <w:color w:val="696969"/>
              </w:rPr>
              <w:t>, excluding same day stays and separations with an average length of stay greater than 35 days.</w:t>
            </w:r>
          </w:p>
        </w:tc>
        <w:tc>
          <w:tcPr>
            <w:tcW w:w="1559" w:type="dxa"/>
          </w:tcPr>
          <w:p w14:paraId="02261688" w14:textId="77777777" w:rsidR="0067289E" w:rsidRPr="00E52673" w:rsidRDefault="0067289E" w:rsidP="0067289E">
            <w:pPr>
              <w:pStyle w:val="VAHItabletext"/>
              <w:rPr>
                <w:color w:val="696969"/>
                <w:szCs w:val="18"/>
              </w:rPr>
            </w:pPr>
          </w:p>
        </w:tc>
        <w:tc>
          <w:tcPr>
            <w:tcW w:w="4820" w:type="dxa"/>
          </w:tcPr>
          <w:p w14:paraId="0A3B0FAA" w14:textId="3B267004" w:rsidR="0067289E" w:rsidRPr="00E52673" w:rsidRDefault="0067289E" w:rsidP="0067289E">
            <w:pPr>
              <w:pStyle w:val="VAHItabletext"/>
              <w:rPr>
                <w:rFonts w:eastAsia="Verdana" w:cs="Verdana"/>
                <w:color w:val="696969"/>
                <w:szCs w:val="18"/>
              </w:rPr>
            </w:pPr>
            <w:r w:rsidRPr="00E52673">
              <w:rPr>
                <w:color w:val="696969"/>
              </w:rPr>
              <w:t>A shorter length of stay may be associated with higher re-admission rates. Measure calculation is based on episode start and end dates and not individual admission events within an episode.</w:t>
            </w:r>
          </w:p>
        </w:tc>
      </w:tr>
      <w:tr w:rsidR="0067289E" w:rsidRPr="0069621D" w14:paraId="42567377" w14:textId="77777777" w:rsidTr="000B0CCC">
        <w:trPr>
          <w:cantSplit/>
        </w:trPr>
        <w:tc>
          <w:tcPr>
            <w:tcW w:w="1702" w:type="dxa"/>
            <w:shd w:val="clear" w:color="auto" w:fill="auto"/>
          </w:tcPr>
          <w:p w14:paraId="75F18803" w14:textId="77777777" w:rsidR="0067289E" w:rsidRPr="00E52673" w:rsidRDefault="0067289E" w:rsidP="0067289E">
            <w:pPr>
              <w:pStyle w:val="VAHItabletext"/>
              <w:rPr>
                <w:color w:val="696969"/>
                <w:szCs w:val="18"/>
              </w:rPr>
            </w:pPr>
          </w:p>
        </w:tc>
        <w:tc>
          <w:tcPr>
            <w:tcW w:w="1842" w:type="dxa"/>
          </w:tcPr>
          <w:p w14:paraId="4DFBCD9E" w14:textId="50D0BB92" w:rsidR="0067289E" w:rsidRPr="00E52673" w:rsidRDefault="0067289E" w:rsidP="0067289E">
            <w:pPr>
              <w:pStyle w:val="VAHItabletext"/>
              <w:rPr>
                <w:rFonts w:eastAsia="Verdana" w:cs="Verdana"/>
                <w:color w:val="696969"/>
                <w:szCs w:val="18"/>
              </w:rPr>
            </w:pPr>
            <w:r w:rsidRPr="00E52673">
              <w:rPr>
                <w:color w:val="696969"/>
              </w:rPr>
              <w:t>Seclusions per 1,000 bed days</w:t>
            </w:r>
          </w:p>
        </w:tc>
        <w:tc>
          <w:tcPr>
            <w:tcW w:w="5103" w:type="dxa"/>
          </w:tcPr>
          <w:p w14:paraId="500C05A2" w14:textId="339E944A" w:rsidR="0067289E" w:rsidRPr="00E52673" w:rsidRDefault="0067289E" w:rsidP="0067289E">
            <w:pPr>
              <w:pStyle w:val="VAHItabletext"/>
              <w:rPr>
                <w:rFonts w:eastAsia="Verdana" w:cs="Verdana"/>
                <w:color w:val="696969"/>
                <w:szCs w:val="18"/>
              </w:rPr>
            </w:pPr>
            <w:r w:rsidRPr="00E52673">
              <w:rPr>
                <w:color w:val="696969"/>
              </w:rPr>
              <w:t>Rate of ended seclusion episodes per 1,000 occupied bed days within inpatient units, excluding leave, same day stays and units that do not have a seclusion room.</w:t>
            </w:r>
          </w:p>
        </w:tc>
        <w:tc>
          <w:tcPr>
            <w:tcW w:w="1559" w:type="dxa"/>
          </w:tcPr>
          <w:p w14:paraId="7840EC84" w14:textId="65AB9972" w:rsidR="0067289E" w:rsidRPr="00E52673" w:rsidRDefault="0067289E" w:rsidP="0067289E">
            <w:pPr>
              <w:pStyle w:val="VAHItabletext"/>
              <w:rPr>
                <w:rFonts w:eastAsia="Verdana" w:cs="Verdana"/>
                <w:color w:val="696969"/>
                <w:szCs w:val="18"/>
              </w:rPr>
            </w:pPr>
            <w:r w:rsidRPr="00E52673">
              <w:rPr>
                <w:color w:val="696969"/>
              </w:rPr>
              <w:t>15.0</w:t>
            </w:r>
          </w:p>
        </w:tc>
        <w:tc>
          <w:tcPr>
            <w:tcW w:w="4820" w:type="dxa"/>
          </w:tcPr>
          <w:p w14:paraId="6DBE8DE5" w14:textId="032A9DF5" w:rsidR="0067289E" w:rsidRPr="00E52673" w:rsidRDefault="0067289E" w:rsidP="0067289E">
            <w:pPr>
              <w:pStyle w:val="VAHItabletext"/>
              <w:rPr>
                <w:rFonts w:eastAsia="Verdana" w:cs="Verdana"/>
                <w:color w:val="696969"/>
                <w:szCs w:val="18"/>
              </w:rPr>
            </w:pPr>
            <w:r w:rsidRPr="00E52673">
              <w:rPr>
                <w:color w:val="696969"/>
                <w:szCs w:val="18"/>
              </w:rPr>
              <w:t>Calculation of bed days involves converting minutes into days.</w:t>
            </w:r>
          </w:p>
        </w:tc>
      </w:tr>
      <w:tr w:rsidR="0067289E" w:rsidRPr="0069621D" w14:paraId="02CA2FC1" w14:textId="77777777" w:rsidTr="000B0CCC">
        <w:trPr>
          <w:cantSplit/>
        </w:trPr>
        <w:tc>
          <w:tcPr>
            <w:tcW w:w="1702" w:type="dxa"/>
            <w:shd w:val="clear" w:color="auto" w:fill="auto"/>
          </w:tcPr>
          <w:p w14:paraId="09987E04" w14:textId="77777777" w:rsidR="0067289E" w:rsidRPr="00E52673" w:rsidRDefault="0067289E" w:rsidP="0067289E">
            <w:pPr>
              <w:pStyle w:val="VAHItabletext"/>
              <w:rPr>
                <w:color w:val="696969"/>
                <w:szCs w:val="18"/>
              </w:rPr>
            </w:pPr>
          </w:p>
        </w:tc>
        <w:tc>
          <w:tcPr>
            <w:tcW w:w="1842" w:type="dxa"/>
          </w:tcPr>
          <w:p w14:paraId="3A271481" w14:textId="67B14168" w:rsidR="0067289E" w:rsidRPr="00E52673" w:rsidRDefault="0067289E" w:rsidP="0067289E">
            <w:pPr>
              <w:pStyle w:val="VAHItabletext"/>
              <w:rPr>
                <w:rFonts w:eastAsia="Verdana" w:cs="Verdana"/>
                <w:color w:val="696969"/>
                <w:szCs w:val="18"/>
              </w:rPr>
            </w:pPr>
            <w:r w:rsidRPr="00E52673">
              <w:rPr>
                <w:color w:val="696969"/>
              </w:rPr>
              <w:t>Self rated measures offered</w:t>
            </w:r>
          </w:p>
        </w:tc>
        <w:tc>
          <w:tcPr>
            <w:tcW w:w="5103" w:type="dxa"/>
          </w:tcPr>
          <w:p w14:paraId="084A636C" w14:textId="76D376A0"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clinicians offered a relevant consumer self-assessment measurement scale (BASIS-32/SDQ).</w:t>
            </w:r>
          </w:p>
        </w:tc>
        <w:tc>
          <w:tcPr>
            <w:tcW w:w="1559" w:type="dxa"/>
          </w:tcPr>
          <w:p w14:paraId="28D4CF72" w14:textId="297AC286" w:rsidR="0067289E" w:rsidRPr="00E52673" w:rsidRDefault="0067289E" w:rsidP="0067289E">
            <w:pPr>
              <w:pStyle w:val="VAHItabletext"/>
              <w:rPr>
                <w:rFonts w:eastAsia="Verdana" w:cs="Verdana"/>
                <w:color w:val="696969"/>
                <w:szCs w:val="18"/>
              </w:rPr>
            </w:pPr>
          </w:p>
        </w:tc>
        <w:tc>
          <w:tcPr>
            <w:tcW w:w="4820" w:type="dxa"/>
          </w:tcPr>
          <w:p w14:paraId="07271E83" w14:textId="2469F90D" w:rsidR="0067289E" w:rsidRPr="00E52673" w:rsidRDefault="0067289E" w:rsidP="0067289E">
            <w:pPr>
              <w:pStyle w:val="VAHItabletext"/>
              <w:rPr>
                <w:rFonts w:eastAsia="Verdana" w:cs="Verdana"/>
                <w:color w:val="696969"/>
                <w:szCs w:val="18"/>
              </w:rPr>
            </w:pPr>
            <w:r w:rsidRPr="00E52673">
              <w:rPr>
                <w:color w:val="696969"/>
                <w:szCs w:val="18"/>
              </w:rPr>
              <w:t>Measure can be an indicator of services that actively seek consumer feedback and have systems in place to ensure that at a minimum the consumer measures are considered for collection. Results during 2011, 2012, 2016 and 2017 were affected by industrial activity and should be interpreted with caution.</w:t>
            </w:r>
          </w:p>
        </w:tc>
      </w:tr>
      <w:tr w:rsidR="0067289E" w:rsidRPr="0069621D" w14:paraId="592AF5BC" w14:textId="77777777" w:rsidTr="000B0CCC">
        <w:trPr>
          <w:cantSplit/>
        </w:trPr>
        <w:tc>
          <w:tcPr>
            <w:tcW w:w="1702" w:type="dxa"/>
            <w:shd w:val="clear" w:color="auto" w:fill="auto"/>
          </w:tcPr>
          <w:p w14:paraId="2196C061" w14:textId="77777777" w:rsidR="0067289E" w:rsidRPr="00E52673" w:rsidRDefault="0067289E" w:rsidP="0067289E">
            <w:pPr>
              <w:pStyle w:val="VAHItabletext"/>
              <w:rPr>
                <w:color w:val="696969"/>
                <w:szCs w:val="18"/>
              </w:rPr>
            </w:pPr>
          </w:p>
        </w:tc>
        <w:tc>
          <w:tcPr>
            <w:tcW w:w="1842" w:type="dxa"/>
          </w:tcPr>
          <w:p w14:paraId="2F5F04BC" w14:textId="7653E6E5"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6B457351" w14:textId="73A3FB93"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consumers completed a relevant consumer self-assessment measurement scale (BASIS-32/SDQ).</w:t>
            </w:r>
          </w:p>
        </w:tc>
        <w:tc>
          <w:tcPr>
            <w:tcW w:w="1559" w:type="dxa"/>
          </w:tcPr>
          <w:p w14:paraId="6265CE27" w14:textId="14D4A2B9" w:rsidR="0067289E" w:rsidRPr="00E52673" w:rsidRDefault="0067289E" w:rsidP="0067289E">
            <w:pPr>
              <w:pStyle w:val="VAHItabletext"/>
              <w:rPr>
                <w:rFonts w:eastAsia="Verdana" w:cs="Verdana"/>
                <w:color w:val="696969"/>
                <w:szCs w:val="18"/>
              </w:rPr>
            </w:pPr>
          </w:p>
        </w:tc>
        <w:tc>
          <w:tcPr>
            <w:tcW w:w="4820" w:type="dxa"/>
          </w:tcPr>
          <w:p w14:paraId="58AF53B4" w14:textId="685D4C0C" w:rsidR="0067289E" w:rsidRPr="00E52673" w:rsidRDefault="0067289E" w:rsidP="0067289E">
            <w:pPr>
              <w:tabs>
                <w:tab w:val="left" w:pos="1320"/>
              </w:tabs>
              <w:rPr>
                <w:rFonts w:ascii="VIC" w:hAnsi="VIC"/>
                <w:color w:val="696969"/>
                <w:sz w:val="18"/>
                <w:szCs w:val="18"/>
                <w:lang w:val="en-AU"/>
              </w:rPr>
            </w:pPr>
            <w:r w:rsidRPr="00E52673">
              <w:rPr>
                <w:rFonts w:ascii="VIC" w:hAnsi="VIC"/>
                <w:color w:val="696969"/>
                <w:sz w:val="18"/>
                <w:szCs w:val="18"/>
              </w:rPr>
              <w:t>Measure can be an indicator of service engagement with families and carers. Results during 2011, 2012, 2016 and 2017 were affected by industrial activity and should be interpreted with caution.</w:t>
            </w:r>
          </w:p>
        </w:tc>
      </w:tr>
      <w:tr w:rsidR="0067289E" w:rsidRPr="0069621D" w14:paraId="781F5EBD" w14:textId="77777777" w:rsidTr="000B0CCC">
        <w:trPr>
          <w:cantSplit/>
        </w:trPr>
        <w:tc>
          <w:tcPr>
            <w:tcW w:w="1702" w:type="dxa"/>
            <w:shd w:val="clear" w:color="auto" w:fill="auto"/>
          </w:tcPr>
          <w:p w14:paraId="602202DD" w14:textId="77777777" w:rsidR="0067289E" w:rsidRPr="00E52673" w:rsidRDefault="0067289E" w:rsidP="0067289E">
            <w:pPr>
              <w:pStyle w:val="VAHItabletext"/>
              <w:rPr>
                <w:color w:val="696969"/>
                <w:szCs w:val="18"/>
              </w:rPr>
            </w:pPr>
          </w:p>
        </w:tc>
        <w:tc>
          <w:tcPr>
            <w:tcW w:w="1842" w:type="dxa"/>
          </w:tcPr>
          <w:p w14:paraId="13D4C2C3" w14:textId="4D101F86" w:rsidR="0067289E" w:rsidRPr="00E52673" w:rsidRDefault="0067289E" w:rsidP="0067289E">
            <w:pPr>
              <w:pStyle w:val="VAHItabletext"/>
              <w:rPr>
                <w:rFonts w:eastAsia="Verdana" w:cs="Verdana"/>
                <w:color w:val="696969"/>
                <w:szCs w:val="18"/>
              </w:rPr>
            </w:pPr>
            <w:r w:rsidRPr="00E52673">
              <w:rPr>
                <w:color w:val="696969"/>
              </w:rPr>
              <w:t>HoNOS compliance</w:t>
            </w:r>
          </w:p>
        </w:tc>
        <w:tc>
          <w:tcPr>
            <w:tcW w:w="5103" w:type="dxa"/>
          </w:tcPr>
          <w:p w14:paraId="64406A96" w14:textId="62F0CD3F" w:rsidR="0067289E" w:rsidRPr="00E52673" w:rsidRDefault="0067289E" w:rsidP="0067289E">
            <w:pPr>
              <w:pStyle w:val="VAHItabletext"/>
              <w:rPr>
                <w:rFonts w:eastAsia="Verdana" w:cs="Verdana"/>
                <w:color w:val="696969"/>
                <w:szCs w:val="18"/>
              </w:rPr>
            </w:pPr>
            <w:r w:rsidRPr="00E52673">
              <w:rPr>
                <w:color w:val="696969"/>
              </w:rPr>
              <w:t>Percentage of required collection events in an inpatient unit where a HoNOS outcome measurement scale (HoNOSCA/HNSADL/HoNOS65) was completed, excluding invalid HoNOS scores (more than two times rated as '9').</w:t>
            </w:r>
          </w:p>
        </w:tc>
        <w:tc>
          <w:tcPr>
            <w:tcW w:w="1559" w:type="dxa"/>
          </w:tcPr>
          <w:p w14:paraId="1645DBBB" w14:textId="2BD27ACB" w:rsidR="0067289E" w:rsidRPr="00E52673" w:rsidRDefault="0067289E" w:rsidP="0067289E">
            <w:pPr>
              <w:pStyle w:val="VAHItabletext"/>
              <w:rPr>
                <w:rFonts w:eastAsia="Verdana" w:cs="Verdana"/>
                <w:color w:val="696969"/>
                <w:szCs w:val="18"/>
              </w:rPr>
            </w:pPr>
            <w:r w:rsidRPr="00E52673">
              <w:rPr>
                <w:color w:val="696969"/>
              </w:rPr>
              <w:t>85.0 %</w:t>
            </w:r>
          </w:p>
        </w:tc>
        <w:tc>
          <w:tcPr>
            <w:tcW w:w="4820" w:type="dxa"/>
          </w:tcPr>
          <w:p w14:paraId="110B433E" w14:textId="7CE59A30"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057BE954" w14:textId="77777777" w:rsidTr="000B0CCC">
        <w:trPr>
          <w:cantSplit/>
        </w:trPr>
        <w:tc>
          <w:tcPr>
            <w:tcW w:w="1702" w:type="dxa"/>
            <w:shd w:val="clear" w:color="auto" w:fill="auto"/>
          </w:tcPr>
          <w:p w14:paraId="668261DC" w14:textId="77777777" w:rsidR="0067289E" w:rsidRPr="00E52673" w:rsidRDefault="0067289E" w:rsidP="0067289E">
            <w:pPr>
              <w:pStyle w:val="VAHItabletext"/>
              <w:rPr>
                <w:color w:val="696969"/>
                <w:szCs w:val="18"/>
              </w:rPr>
            </w:pPr>
          </w:p>
        </w:tc>
        <w:tc>
          <w:tcPr>
            <w:tcW w:w="1842" w:type="dxa"/>
          </w:tcPr>
          <w:p w14:paraId="32F10FA9" w14:textId="0EEAEE79" w:rsidR="0067289E" w:rsidRPr="00E52673" w:rsidRDefault="0067289E" w:rsidP="0067289E">
            <w:pPr>
              <w:pStyle w:val="VAHItabletext"/>
              <w:rPr>
                <w:rFonts w:eastAsia="Verdana" w:cs="Verdana"/>
                <w:color w:val="696969"/>
                <w:szCs w:val="18"/>
              </w:rPr>
            </w:pPr>
            <w:r w:rsidRPr="00E52673">
              <w:rPr>
                <w:color w:val="696969"/>
              </w:rPr>
              <w:t>Average HoNOS at episode start</w:t>
            </w:r>
          </w:p>
        </w:tc>
        <w:tc>
          <w:tcPr>
            <w:tcW w:w="5103" w:type="dxa"/>
          </w:tcPr>
          <w:p w14:paraId="64F29EF5" w14:textId="449AE1AB" w:rsidR="0067289E" w:rsidRPr="00E52673" w:rsidRDefault="0067289E" w:rsidP="0067289E">
            <w:pPr>
              <w:pStyle w:val="VAHItabletext"/>
              <w:rPr>
                <w:rFonts w:eastAsia="Verdana" w:cs="Verdana"/>
                <w:color w:val="696969"/>
                <w:szCs w:val="18"/>
              </w:rPr>
            </w:pPr>
            <w:r w:rsidRPr="00E52673">
              <w:rPr>
                <w:color w:val="696969"/>
              </w:rPr>
              <w:t>Average HoNOS total score (HoNOSCA/HNSADL/HoNOS65) collected at inpatient episode start, excluding invalid HoNOS scores (more than two times rated as '9').</w:t>
            </w:r>
          </w:p>
        </w:tc>
        <w:tc>
          <w:tcPr>
            <w:tcW w:w="1559" w:type="dxa"/>
          </w:tcPr>
          <w:p w14:paraId="4AC911AB" w14:textId="0A8CE63C" w:rsidR="0067289E" w:rsidRPr="00E52673" w:rsidRDefault="0067289E" w:rsidP="0067289E">
            <w:pPr>
              <w:pStyle w:val="VAHItabletext"/>
              <w:rPr>
                <w:rFonts w:eastAsia="Verdana" w:cs="Verdana"/>
                <w:color w:val="696969"/>
                <w:szCs w:val="18"/>
              </w:rPr>
            </w:pPr>
          </w:p>
        </w:tc>
        <w:tc>
          <w:tcPr>
            <w:tcW w:w="4820" w:type="dxa"/>
          </w:tcPr>
          <w:p w14:paraId="1EB79FD8" w14:textId="408367F0" w:rsidR="0067289E" w:rsidRPr="00E52673" w:rsidRDefault="0067289E" w:rsidP="0067289E">
            <w:pPr>
              <w:pStyle w:val="VAHItabletext"/>
              <w:rPr>
                <w:rFonts w:eastAsia="Verdana" w:cs="Verdana"/>
                <w:color w:val="696969"/>
                <w:szCs w:val="18"/>
              </w:rPr>
            </w:pPr>
            <w:r w:rsidRPr="00E52673">
              <w:rPr>
                <w:color w:val="696969"/>
              </w:rPr>
              <w:t>Measure reports symptom severity at episode commencement. Dates used in measure calculation are based on HoNOS completion date. Results during 2011, 2012, 2016 and 2017 were affected by industrial activity and should be interpreted with caution.</w:t>
            </w:r>
          </w:p>
        </w:tc>
      </w:tr>
      <w:tr w:rsidR="0067289E" w:rsidRPr="0069621D" w14:paraId="1501EE19" w14:textId="77777777" w:rsidTr="000B0CCC">
        <w:trPr>
          <w:cantSplit/>
        </w:trPr>
        <w:tc>
          <w:tcPr>
            <w:tcW w:w="1702" w:type="dxa"/>
            <w:shd w:val="clear" w:color="auto" w:fill="auto"/>
          </w:tcPr>
          <w:p w14:paraId="7DB2F668" w14:textId="0C3748C5" w:rsidR="0067289E" w:rsidRPr="00E52673" w:rsidRDefault="0067289E" w:rsidP="0067289E">
            <w:pPr>
              <w:pStyle w:val="VAHItabletext"/>
              <w:rPr>
                <w:color w:val="696969"/>
                <w:szCs w:val="18"/>
              </w:rPr>
            </w:pPr>
            <w:r w:rsidRPr="00E52673">
              <w:rPr>
                <w:color w:val="696969"/>
              </w:rPr>
              <w:t>Community</w:t>
            </w:r>
          </w:p>
        </w:tc>
        <w:tc>
          <w:tcPr>
            <w:tcW w:w="1842" w:type="dxa"/>
          </w:tcPr>
          <w:p w14:paraId="55A3EB24" w14:textId="5B7F2AC8" w:rsidR="0067289E" w:rsidRPr="00E52673" w:rsidRDefault="0067289E" w:rsidP="0067289E">
            <w:pPr>
              <w:pStyle w:val="VAHItabletext"/>
              <w:rPr>
                <w:rFonts w:eastAsia="Verdana" w:cs="Verdana"/>
                <w:color w:val="696969"/>
                <w:szCs w:val="18"/>
              </w:rPr>
            </w:pPr>
            <w:r w:rsidRPr="00E52673">
              <w:rPr>
                <w:color w:val="696969"/>
              </w:rPr>
              <w:t>Pre admission contact (by resp AMHS)</w:t>
            </w:r>
          </w:p>
        </w:tc>
        <w:tc>
          <w:tcPr>
            <w:tcW w:w="5103" w:type="dxa"/>
          </w:tcPr>
          <w:p w14:paraId="0C80AB8F" w14:textId="65C22624" w:rsidR="0067289E" w:rsidRPr="00E52673" w:rsidRDefault="0067289E" w:rsidP="0067289E">
            <w:pPr>
              <w:pStyle w:val="VAHItabletext"/>
              <w:rPr>
                <w:rFonts w:eastAsia="Verdana" w:cs="Verdana"/>
                <w:color w:val="696969"/>
                <w:szCs w:val="18"/>
              </w:rPr>
            </w:pPr>
            <w:r w:rsidRPr="00E52673">
              <w:rPr>
                <w:color w:val="696969"/>
              </w:rPr>
              <w:t>Percentage of admissions to an inpatient unit/s for which an ambulatory service contact was recorded in the seven days immediately preceding the day of admission, excluding same day stays, transfers from another hospital and non-Victorian consumers.</w:t>
            </w:r>
          </w:p>
        </w:tc>
        <w:tc>
          <w:tcPr>
            <w:tcW w:w="1559" w:type="dxa"/>
          </w:tcPr>
          <w:p w14:paraId="3F423A82" w14:textId="3D682F30" w:rsidR="0067289E" w:rsidRPr="00E52673" w:rsidRDefault="0067289E" w:rsidP="0067289E">
            <w:pPr>
              <w:pStyle w:val="VAHItabletext"/>
              <w:rPr>
                <w:rFonts w:eastAsia="Verdana" w:cs="Verdana"/>
                <w:color w:val="696969"/>
                <w:szCs w:val="18"/>
              </w:rPr>
            </w:pPr>
            <w:r w:rsidRPr="00E52673">
              <w:rPr>
                <w:color w:val="696969"/>
              </w:rPr>
              <w:t>61.0 %</w:t>
            </w:r>
          </w:p>
        </w:tc>
        <w:tc>
          <w:tcPr>
            <w:tcW w:w="4820" w:type="dxa"/>
          </w:tcPr>
          <w:p w14:paraId="6ACB517C" w14:textId="35375152" w:rsidR="0067289E" w:rsidRPr="00E52673" w:rsidRDefault="0067289E" w:rsidP="0067289E">
            <w:pPr>
              <w:pStyle w:val="VAHItabletext"/>
              <w:rPr>
                <w:rFonts w:eastAsia="Verdana" w:cs="Verdana"/>
                <w:color w:val="696969"/>
                <w:szCs w:val="18"/>
              </w:rPr>
            </w:pPr>
            <w:r w:rsidRPr="00E52673">
              <w:rPr>
                <w:color w:val="696969"/>
              </w:rPr>
              <w:t>Measure can provide an indicator of a service's responsiveness and a planned approach to admission. Admissions are counted against the area mental health service (catchment campus) of the consumer. Where unknown, this defaults to the admitting campus. Results during 2011, 2012, 2016 and 2017 were affected by industrial activity. Data reported within these periods should be interpreted with caution</w:t>
            </w:r>
            <w:r w:rsidR="004374DA" w:rsidRPr="00E52673">
              <w:rPr>
                <w:color w:val="696969"/>
              </w:rPr>
              <w:t>.</w:t>
            </w:r>
          </w:p>
        </w:tc>
      </w:tr>
      <w:tr w:rsidR="0067289E" w:rsidRPr="0069621D" w14:paraId="4217DCC2" w14:textId="77777777" w:rsidTr="000B0CCC">
        <w:trPr>
          <w:cantSplit/>
        </w:trPr>
        <w:tc>
          <w:tcPr>
            <w:tcW w:w="1702" w:type="dxa"/>
            <w:shd w:val="clear" w:color="auto" w:fill="auto"/>
          </w:tcPr>
          <w:p w14:paraId="0617E5DD" w14:textId="77777777" w:rsidR="0067289E" w:rsidRPr="00E52673" w:rsidRDefault="0067289E" w:rsidP="0067289E">
            <w:pPr>
              <w:pStyle w:val="VAHItabletext"/>
              <w:rPr>
                <w:color w:val="696969"/>
                <w:szCs w:val="18"/>
              </w:rPr>
            </w:pPr>
          </w:p>
        </w:tc>
        <w:tc>
          <w:tcPr>
            <w:tcW w:w="1842" w:type="dxa"/>
          </w:tcPr>
          <w:p w14:paraId="5DDA0C46" w14:textId="7A86A9C0" w:rsidR="0067289E" w:rsidRPr="00E52673" w:rsidRDefault="0067289E" w:rsidP="0067289E">
            <w:pPr>
              <w:pStyle w:val="VAHItabletext"/>
              <w:rPr>
                <w:rFonts w:eastAsia="Verdana" w:cs="Verdana"/>
                <w:color w:val="696969"/>
                <w:szCs w:val="18"/>
              </w:rPr>
            </w:pPr>
            <w:r w:rsidRPr="00E52673">
              <w:rPr>
                <w:color w:val="696969"/>
              </w:rPr>
              <w:t>7 day post discharge follow up (by resp AMHS)</w:t>
            </w:r>
          </w:p>
        </w:tc>
        <w:tc>
          <w:tcPr>
            <w:tcW w:w="5103" w:type="dxa"/>
          </w:tcPr>
          <w:p w14:paraId="1115D417" w14:textId="5EDCE9D6" w:rsidR="0067289E" w:rsidRPr="00E52673" w:rsidRDefault="0067289E" w:rsidP="0067289E">
            <w:pPr>
              <w:pStyle w:val="VAHItabletext"/>
              <w:rPr>
                <w:rFonts w:eastAsia="Verdana" w:cs="Verdana"/>
                <w:color w:val="696969"/>
                <w:szCs w:val="18"/>
              </w:rPr>
            </w:pPr>
            <w:r w:rsidRPr="00E52673">
              <w:rPr>
                <w:color w:val="696969"/>
              </w:rPr>
              <w:t>Percentage of non-same day separations from inpatient units where the consumer was discharged to private residence or accommodation, for which an ambulatory service contact was recorded in the 7 days post separation, excluding contact made on the day of separation and non-Victorian consumers, reported by responsible area mental health service (catchment campus).</w:t>
            </w:r>
          </w:p>
        </w:tc>
        <w:tc>
          <w:tcPr>
            <w:tcW w:w="1559" w:type="dxa"/>
          </w:tcPr>
          <w:p w14:paraId="0D763719" w14:textId="1215FB8D" w:rsidR="0067289E" w:rsidRPr="00E52673" w:rsidRDefault="0067289E" w:rsidP="0067289E">
            <w:pPr>
              <w:pStyle w:val="VAHItabletext"/>
              <w:rPr>
                <w:rFonts w:eastAsia="Verdana" w:cs="Verdana"/>
                <w:color w:val="696969"/>
                <w:szCs w:val="18"/>
              </w:rPr>
            </w:pPr>
            <w:r w:rsidRPr="00E52673">
              <w:rPr>
                <w:color w:val="696969"/>
              </w:rPr>
              <w:t>80.0 %</w:t>
            </w:r>
          </w:p>
        </w:tc>
        <w:tc>
          <w:tcPr>
            <w:tcW w:w="4820" w:type="dxa"/>
          </w:tcPr>
          <w:p w14:paraId="0B2C6B2A" w14:textId="2F860FAC" w:rsidR="0067289E" w:rsidRPr="00E52673" w:rsidRDefault="0067289E" w:rsidP="0067289E">
            <w:pPr>
              <w:pStyle w:val="VAHItabletext"/>
              <w:rPr>
                <w:rFonts w:eastAsia="Verdana" w:cs="Verdana"/>
                <w:color w:val="696969"/>
                <w:szCs w:val="18"/>
              </w:rPr>
            </w:pPr>
            <w:r w:rsidRPr="00E52673">
              <w:rPr>
                <w:color w:val="696969"/>
              </w:rPr>
              <w:t>When a consumer is sent on leave and subsequently discharged whilst on leave, contact must occur within the 7 days since the consumer was on leave. Results lagged by 7 days. Results during 2011, 2012, 2016 and 2017 were affected by industrial activity and should be interpreted with caution.</w:t>
            </w:r>
          </w:p>
        </w:tc>
      </w:tr>
      <w:tr w:rsidR="0067289E" w:rsidRPr="0069621D" w14:paraId="46EEAD99" w14:textId="77777777" w:rsidTr="000B0CCC">
        <w:trPr>
          <w:cantSplit/>
        </w:trPr>
        <w:tc>
          <w:tcPr>
            <w:tcW w:w="1702" w:type="dxa"/>
            <w:shd w:val="clear" w:color="auto" w:fill="auto"/>
          </w:tcPr>
          <w:p w14:paraId="287CE8A7" w14:textId="77777777" w:rsidR="0067289E" w:rsidRPr="00E52673" w:rsidRDefault="0067289E" w:rsidP="0067289E">
            <w:pPr>
              <w:pStyle w:val="VAHItabletext"/>
              <w:rPr>
                <w:color w:val="696969"/>
                <w:szCs w:val="18"/>
              </w:rPr>
            </w:pPr>
          </w:p>
        </w:tc>
        <w:tc>
          <w:tcPr>
            <w:tcW w:w="1842" w:type="dxa"/>
          </w:tcPr>
          <w:p w14:paraId="5AF610E7" w14:textId="2E3628D3" w:rsidR="0067289E" w:rsidRPr="00E52673" w:rsidRDefault="0067289E" w:rsidP="0067289E">
            <w:pPr>
              <w:pStyle w:val="VAHItabletext"/>
              <w:rPr>
                <w:rFonts w:eastAsia="Verdana" w:cs="Verdana"/>
                <w:color w:val="696969"/>
                <w:szCs w:val="18"/>
              </w:rPr>
            </w:pPr>
            <w:r w:rsidRPr="00E52673">
              <w:rPr>
                <w:color w:val="696969"/>
              </w:rPr>
              <w:t>Closed cases re-referred within 6 months</w:t>
            </w:r>
          </w:p>
        </w:tc>
        <w:tc>
          <w:tcPr>
            <w:tcW w:w="5103" w:type="dxa"/>
          </w:tcPr>
          <w:p w14:paraId="2CF35DA3" w14:textId="30137439" w:rsidR="0067289E" w:rsidRPr="00E52673" w:rsidRDefault="0067289E" w:rsidP="0067289E">
            <w:pPr>
              <w:pStyle w:val="VAHItabletext"/>
              <w:rPr>
                <w:rFonts w:eastAsia="Verdana" w:cs="Verdana"/>
                <w:color w:val="696969"/>
                <w:szCs w:val="18"/>
              </w:rPr>
            </w:pPr>
            <w:r w:rsidRPr="00E52673">
              <w:rPr>
                <w:color w:val="696969"/>
              </w:rPr>
              <w:t>Percentage closed community cases where the consumer had a new community case opened within 6 months of case closure.</w:t>
            </w:r>
          </w:p>
        </w:tc>
        <w:tc>
          <w:tcPr>
            <w:tcW w:w="1559" w:type="dxa"/>
          </w:tcPr>
          <w:p w14:paraId="0F5C0963" w14:textId="755E7A75" w:rsidR="0067289E" w:rsidRPr="00E52673" w:rsidRDefault="0067289E" w:rsidP="0067289E">
            <w:pPr>
              <w:pStyle w:val="VAHItabletext"/>
              <w:rPr>
                <w:rFonts w:eastAsia="Verdana" w:cs="Verdana"/>
                <w:color w:val="696969"/>
                <w:szCs w:val="18"/>
              </w:rPr>
            </w:pPr>
          </w:p>
        </w:tc>
        <w:tc>
          <w:tcPr>
            <w:tcW w:w="4820" w:type="dxa"/>
          </w:tcPr>
          <w:p w14:paraId="58E0E644" w14:textId="689B5B80" w:rsidR="0067289E" w:rsidRPr="00E52673" w:rsidRDefault="0067289E" w:rsidP="0067289E">
            <w:pPr>
              <w:pStyle w:val="VAHItabletext"/>
              <w:rPr>
                <w:rFonts w:eastAsia="Verdana" w:cs="Verdana"/>
                <w:color w:val="696969"/>
                <w:szCs w:val="18"/>
              </w:rPr>
            </w:pPr>
            <w:r w:rsidRPr="00E52673">
              <w:rPr>
                <w:color w:val="696969"/>
              </w:rPr>
              <w:t>Results lagged by 6 months. Measure calculation excludes cases that were opened on the same day or the day after the previous case closure, based on the assumption they are data errors.</w:t>
            </w:r>
          </w:p>
        </w:tc>
      </w:tr>
      <w:tr w:rsidR="0067289E" w:rsidRPr="0069621D" w14:paraId="130EC93A" w14:textId="77777777" w:rsidTr="000B0CCC">
        <w:trPr>
          <w:cantSplit/>
        </w:trPr>
        <w:tc>
          <w:tcPr>
            <w:tcW w:w="1702" w:type="dxa"/>
            <w:shd w:val="clear" w:color="auto" w:fill="auto"/>
          </w:tcPr>
          <w:p w14:paraId="4D8699D4" w14:textId="51D35649" w:rsidR="0067289E" w:rsidRPr="00E52673" w:rsidRDefault="0067289E" w:rsidP="0067289E">
            <w:pPr>
              <w:pStyle w:val="VAHItabletext"/>
              <w:rPr>
                <w:rFonts w:eastAsia="Verdana" w:cs="Verdana"/>
                <w:color w:val="696969"/>
                <w:szCs w:val="18"/>
              </w:rPr>
            </w:pPr>
          </w:p>
        </w:tc>
        <w:tc>
          <w:tcPr>
            <w:tcW w:w="1842" w:type="dxa"/>
          </w:tcPr>
          <w:p w14:paraId="3FC82C4A" w14:textId="7160C767" w:rsidR="0067289E" w:rsidRPr="00E52673" w:rsidRDefault="0067289E" w:rsidP="0067289E">
            <w:pPr>
              <w:pStyle w:val="VAHItabletext"/>
              <w:rPr>
                <w:rFonts w:eastAsia="Verdana" w:cs="Verdana"/>
                <w:color w:val="696969"/>
                <w:szCs w:val="18"/>
              </w:rPr>
            </w:pPr>
            <w:r w:rsidRPr="00E52673">
              <w:rPr>
                <w:color w:val="696969"/>
              </w:rPr>
              <w:t>Average length of case (days)</w:t>
            </w:r>
          </w:p>
        </w:tc>
        <w:tc>
          <w:tcPr>
            <w:tcW w:w="5103" w:type="dxa"/>
          </w:tcPr>
          <w:p w14:paraId="7D57D74A" w14:textId="1BC0AF9F" w:rsidR="0067289E" w:rsidRPr="00E52673" w:rsidRDefault="0067289E" w:rsidP="0067289E">
            <w:pPr>
              <w:pStyle w:val="VAHItabletext"/>
              <w:rPr>
                <w:rFonts w:eastAsia="Verdana" w:cs="Verdana"/>
                <w:color w:val="696969"/>
                <w:szCs w:val="18"/>
              </w:rPr>
            </w:pPr>
            <w:r w:rsidRPr="00E52673">
              <w:rPr>
                <w:color w:val="696969"/>
              </w:rPr>
              <w:t>Average length of case (days) for community cases closed during the reference period.</w:t>
            </w:r>
          </w:p>
        </w:tc>
        <w:tc>
          <w:tcPr>
            <w:tcW w:w="1559" w:type="dxa"/>
          </w:tcPr>
          <w:p w14:paraId="2DEB2BDE" w14:textId="4A1E1D29" w:rsidR="0067289E" w:rsidRPr="00E52673" w:rsidRDefault="0067289E" w:rsidP="0067289E">
            <w:pPr>
              <w:pStyle w:val="VAHItabletext"/>
              <w:rPr>
                <w:color w:val="696969"/>
                <w:szCs w:val="18"/>
              </w:rPr>
            </w:pPr>
          </w:p>
        </w:tc>
        <w:tc>
          <w:tcPr>
            <w:tcW w:w="4820" w:type="dxa"/>
          </w:tcPr>
          <w:p w14:paraId="31FEB266" w14:textId="005182CB" w:rsidR="0067289E" w:rsidRPr="00E52673" w:rsidRDefault="0067289E" w:rsidP="0067289E">
            <w:pPr>
              <w:pStyle w:val="VAHItabletext"/>
              <w:rPr>
                <w:rFonts w:eastAsia="Verdana" w:cs="Verdana"/>
                <w:color w:val="696969"/>
                <w:szCs w:val="18"/>
              </w:rPr>
            </w:pPr>
          </w:p>
        </w:tc>
      </w:tr>
      <w:tr w:rsidR="0067289E" w:rsidRPr="0069621D" w14:paraId="5D05BCEE" w14:textId="77777777" w:rsidTr="000B0CCC">
        <w:trPr>
          <w:cantSplit/>
        </w:trPr>
        <w:tc>
          <w:tcPr>
            <w:tcW w:w="1702" w:type="dxa"/>
            <w:shd w:val="clear" w:color="auto" w:fill="auto"/>
          </w:tcPr>
          <w:p w14:paraId="394A6533" w14:textId="52135181" w:rsidR="0067289E" w:rsidRPr="00E52673" w:rsidRDefault="0067289E" w:rsidP="0067289E">
            <w:pPr>
              <w:pStyle w:val="VAHItabletext"/>
              <w:rPr>
                <w:color w:val="696969"/>
                <w:szCs w:val="18"/>
              </w:rPr>
            </w:pPr>
          </w:p>
        </w:tc>
        <w:tc>
          <w:tcPr>
            <w:tcW w:w="1842" w:type="dxa"/>
          </w:tcPr>
          <w:p w14:paraId="76193907" w14:textId="60172346" w:rsidR="0067289E" w:rsidRPr="00E52673" w:rsidRDefault="0067289E" w:rsidP="0067289E">
            <w:pPr>
              <w:pStyle w:val="VAHItabletext"/>
              <w:rPr>
                <w:rFonts w:eastAsia="Verdana" w:cs="Verdana"/>
                <w:color w:val="696969"/>
                <w:szCs w:val="18"/>
              </w:rPr>
            </w:pPr>
            <w:r w:rsidRPr="00E52673">
              <w:rPr>
                <w:color w:val="696969"/>
              </w:rPr>
              <w:t>Average treatment days</w:t>
            </w:r>
          </w:p>
        </w:tc>
        <w:tc>
          <w:tcPr>
            <w:tcW w:w="5103" w:type="dxa"/>
          </w:tcPr>
          <w:p w14:paraId="40ADCA23" w14:textId="10BED93D" w:rsidR="0067289E" w:rsidRPr="00E52673" w:rsidRDefault="0067289E" w:rsidP="0067289E">
            <w:pPr>
              <w:pStyle w:val="VAHItabletext"/>
              <w:rPr>
                <w:rFonts w:eastAsia="Verdana" w:cs="Verdana"/>
                <w:color w:val="696969"/>
                <w:szCs w:val="18"/>
              </w:rPr>
            </w:pPr>
            <w:r w:rsidRPr="00E52673">
              <w:rPr>
                <w:color w:val="696969"/>
              </w:rPr>
              <w:t>Average number of distinct days with a reportable contact for consumers with an open community case during the reference period, excluding cases open less than 91 days.</w:t>
            </w:r>
          </w:p>
        </w:tc>
        <w:tc>
          <w:tcPr>
            <w:tcW w:w="1559" w:type="dxa"/>
          </w:tcPr>
          <w:p w14:paraId="66307FA6" w14:textId="77777777" w:rsidR="0067289E" w:rsidRPr="00E52673" w:rsidRDefault="0067289E" w:rsidP="0067289E">
            <w:pPr>
              <w:pStyle w:val="VAHItabletext"/>
              <w:rPr>
                <w:color w:val="696969"/>
                <w:szCs w:val="18"/>
              </w:rPr>
            </w:pPr>
          </w:p>
        </w:tc>
        <w:tc>
          <w:tcPr>
            <w:tcW w:w="4820" w:type="dxa"/>
          </w:tcPr>
          <w:p w14:paraId="6D9DE276" w14:textId="04A0A659"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2860F4E4" w14:textId="77777777" w:rsidTr="000B0CCC">
        <w:trPr>
          <w:cantSplit/>
        </w:trPr>
        <w:tc>
          <w:tcPr>
            <w:tcW w:w="1702" w:type="dxa"/>
            <w:shd w:val="clear" w:color="auto" w:fill="auto"/>
          </w:tcPr>
          <w:p w14:paraId="402DDE3D" w14:textId="77777777" w:rsidR="0067289E" w:rsidRPr="00E52673" w:rsidRDefault="0067289E" w:rsidP="0067289E">
            <w:pPr>
              <w:pStyle w:val="VAHItabletext"/>
              <w:rPr>
                <w:color w:val="696969"/>
                <w:szCs w:val="18"/>
              </w:rPr>
            </w:pPr>
          </w:p>
        </w:tc>
        <w:tc>
          <w:tcPr>
            <w:tcW w:w="1842" w:type="dxa"/>
          </w:tcPr>
          <w:p w14:paraId="3AB39397" w14:textId="64F2B109" w:rsidR="0067289E" w:rsidRPr="00E52673" w:rsidRDefault="0067289E" w:rsidP="0067289E">
            <w:pPr>
              <w:pStyle w:val="VAHItabletext"/>
              <w:rPr>
                <w:rFonts w:eastAsia="Verdana" w:cs="Verdana"/>
                <w:color w:val="696969"/>
                <w:szCs w:val="18"/>
              </w:rPr>
            </w:pPr>
            <w:r w:rsidRPr="00E52673">
              <w:rPr>
                <w:color w:val="696969"/>
              </w:rPr>
              <w:t>HoNOS compliance</w:t>
            </w:r>
          </w:p>
        </w:tc>
        <w:tc>
          <w:tcPr>
            <w:tcW w:w="5103" w:type="dxa"/>
          </w:tcPr>
          <w:p w14:paraId="1631E1FF" w14:textId="0E1029C8" w:rsidR="0067289E" w:rsidRPr="00E52673" w:rsidRDefault="0067289E" w:rsidP="0067289E">
            <w:pPr>
              <w:pStyle w:val="VAHItabletext"/>
              <w:rPr>
                <w:rFonts w:eastAsia="Verdana" w:cs="Verdana"/>
                <w:color w:val="696969"/>
                <w:szCs w:val="18"/>
              </w:rPr>
            </w:pPr>
            <w:r w:rsidRPr="00E52673">
              <w:rPr>
                <w:color w:val="696969"/>
              </w:rPr>
              <w:t>Percentage of required collection events in a community setting where a HoNOS outcome measurement scale (HoNOSCA/HNSADL/HoNOS65) was completed, excluding invalid HoNOS scores (more than two times rated as '9').</w:t>
            </w:r>
          </w:p>
        </w:tc>
        <w:tc>
          <w:tcPr>
            <w:tcW w:w="1559" w:type="dxa"/>
          </w:tcPr>
          <w:p w14:paraId="12B7BAD2" w14:textId="1D1F87C5" w:rsidR="0067289E" w:rsidRPr="00E52673" w:rsidRDefault="0067289E" w:rsidP="0067289E">
            <w:pPr>
              <w:pStyle w:val="VAHItabletext"/>
              <w:rPr>
                <w:color w:val="696969"/>
                <w:szCs w:val="18"/>
              </w:rPr>
            </w:pPr>
            <w:r w:rsidRPr="00E52673">
              <w:rPr>
                <w:color w:val="696969"/>
              </w:rPr>
              <w:t>85.0 %</w:t>
            </w:r>
          </w:p>
        </w:tc>
        <w:tc>
          <w:tcPr>
            <w:tcW w:w="4820" w:type="dxa"/>
          </w:tcPr>
          <w:p w14:paraId="2D86D332" w14:textId="7774DF1E"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4C106A7E" w14:textId="77777777" w:rsidTr="000B0CCC">
        <w:trPr>
          <w:cantSplit/>
        </w:trPr>
        <w:tc>
          <w:tcPr>
            <w:tcW w:w="1702" w:type="dxa"/>
            <w:shd w:val="clear" w:color="auto" w:fill="auto"/>
          </w:tcPr>
          <w:p w14:paraId="2A9F8C7F" w14:textId="77777777" w:rsidR="0067289E" w:rsidRPr="00E52673" w:rsidRDefault="0067289E" w:rsidP="0067289E">
            <w:pPr>
              <w:pStyle w:val="VAHItabletext"/>
              <w:rPr>
                <w:color w:val="696969"/>
                <w:szCs w:val="18"/>
              </w:rPr>
            </w:pPr>
          </w:p>
        </w:tc>
        <w:tc>
          <w:tcPr>
            <w:tcW w:w="1842" w:type="dxa"/>
          </w:tcPr>
          <w:p w14:paraId="45DDAA6B" w14:textId="43355055" w:rsidR="0067289E" w:rsidRPr="00E52673" w:rsidRDefault="0067289E" w:rsidP="0067289E">
            <w:pPr>
              <w:pStyle w:val="VAHItabletext"/>
              <w:rPr>
                <w:rFonts w:eastAsia="Verdana" w:cs="Verdana"/>
                <w:color w:val="696969"/>
                <w:szCs w:val="18"/>
              </w:rPr>
            </w:pPr>
            <w:r w:rsidRPr="00E52673">
              <w:rPr>
                <w:color w:val="696969"/>
              </w:rPr>
              <w:t>Average HoNOS at case start</w:t>
            </w:r>
          </w:p>
        </w:tc>
        <w:tc>
          <w:tcPr>
            <w:tcW w:w="5103" w:type="dxa"/>
          </w:tcPr>
          <w:p w14:paraId="63DFB33F" w14:textId="0F5C0143" w:rsidR="0067289E" w:rsidRPr="00E52673" w:rsidRDefault="0067289E" w:rsidP="0067289E">
            <w:pPr>
              <w:pStyle w:val="VAHItabletext"/>
              <w:rPr>
                <w:rFonts w:eastAsia="Verdana" w:cs="Verdana"/>
                <w:color w:val="696969"/>
                <w:szCs w:val="18"/>
              </w:rPr>
            </w:pPr>
            <w:r w:rsidRPr="00E52673">
              <w:rPr>
                <w:color w:val="696969"/>
              </w:rPr>
              <w:t>Average HoNOS total score (HoNOSCA/HNSADL/HoNOS65) collected on community case commencement, excluding invalid scores (more than two times rated as '9').</w:t>
            </w:r>
          </w:p>
        </w:tc>
        <w:tc>
          <w:tcPr>
            <w:tcW w:w="1559" w:type="dxa"/>
          </w:tcPr>
          <w:p w14:paraId="17EC52B4" w14:textId="77777777" w:rsidR="0067289E" w:rsidRPr="00E52673" w:rsidRDefault="0067289E" w:rsidP="0067289E">
            <w:pPr>
              <w:pStyle w:val="VAHItabletext"/>
              <w:rPr>
                <w:color w:val="696969"/>
                <w:szCs w:val="18"/>
              </w:rPr>
            </w:pPr>
          </w:p>
        </w:tc>
        <w:tc>
          <w:tcPr>
            <w:tcW w:w="4820" w:type="dxa"/>
          </w:tcPr>
          <w:p w14:paraId="602D7C8F" w14:textId="57A923CE" w:rsidR="0067289E" w:rsidRPr="00E52673" w:rsidRDefault="0067289E" w:rsidP="0067289E">
            <w:pPr>
              <w:pStyle w:val="VAHItabletext"/>
              <w:rPr>
                <w:rFonts w:eastAsia="Verdana" w:cs="Verdana"/>
                <w:color w:val="696969"/>
                <w:szCs w:val="18"/>
              </w:rPr>
            </w:pPr>
            <w:r w:rsidRPr="00E52673">
              <w:rPr>
                <w:color w:val="696969"/>
              </w:rPr>
              <w:t>Measure reports symptom severity at episode commencement. Dates used in measure calculation are based on HoNOS completion date. Results during 2011, 2012, 2016 and 2017 were affected by industrial activity and should be interpreted with caution.</w:t>
            </w:r>
          </w:p>
        </w:tc>
      </w:tr>
      <w:tr w:rsidR="0067289E" w:rsidRPr="0069621D" w14:paraId="0B00DCC7" w14:textId="77777777" w:rsidTr="000B0CCC">
        <w:trPr>
          <w:cantSplit/>
        </w:trPr>
        <w:tc>
          <w:tcPr>
            <w:tcW w:w="1702" w:type="dxa"/>
            <w:shd w:val="clear" w:color="auto" w:fill="auto"/>
          </w:tcPr>
          <w:p w14:paraId="2CD236DF" w14:textId="77777777" w:rsidR="0067289E" w:rsidRPr="00E52673" w:rsidRDefault="0067289E" w:rsidP="0067289E">
            <w:pPr>
              <w:pStyle w:val="VAHItabletext"/>
              <w:rPr>
                <w:color w:val="696969"/>
                <w:szCs w:val="18"/>
              </w:rPr>
            </w:pPr>
          </w:p>
        </w:tc>
        <w:tc>
          <w:tcPr>
            <w:tcW w:w="1842" w:type="dxa"/>
          </w:tcPr>
          <w:p w14:paraId="178FCD59" w14:textId="4A578ADA" w:rsidR="0067289E" w:rsidRPr="00E52673" w:rsidRDefault="0067289E" w:rsidP="0067289E">
            <w:pPr>
              <w:pStyle w:val="VAHItabletext"/>
              <w:rPr>
                <w:rFonts w:eastAsia="Verdana" w:cs="Verdana"/>
                <w:color w:val="696969"/>
                <w:szCs w:val="18"/>
              </w:rPr>
            </w:pPr>
            <w:r w:rsidRPr="00E52673">
              <w:rPr>
                <w:color w:val="696969"/>
              </w:rPr>
              <w:t>Cases with significant improvement at closure</w:t>
            </w:r>
          </w:p>
        </w:tc>
        <w:tc>
          <w:tcPr>
            <w:tcW w:w="5103" w:type="dxa"/>
          </w:tcPr>
          <w:p w14:paraId="02C59BFD" w14:textId="31323E9C" w:rsidR="0067289E" w:rsidRPr="00E52673" w:rsidRDefault="0067289E" w:rsidP="0067289E">
            <w:pPr>
              <w:pStyle w:val="VAHItabletext"/>
              <w:rPr>
                <w:rFonts w:eastAsia="Verdana" w:cs="Verdana"/>
                <w:color w:val="696969"/>
                <w:szCs w:val="18"/>
              </w:rPr>
            </w:pPr>
            <w:r w:rsidRPr="00E52673">
              <w:rPr>
                <w:color w:val="696969"/>
              </w:rPr>
              <w:t>Percentage of completed community cases with a 'significant' (cases with a change score &gt;0.5) positive change calculation on case start and case end.</w:t>
            </w:r>
          </w:p>
        </w:tc>
        <w:tc>
          <w:tcPr>
            <w:tcW w:w="1559" w:type="dxa"/>
          </w:tcPr>
          <w:p w14:paraId="71FDE56A" w14:textId="6F98A143" w:rsidR="0067289E" w:rsidRPr="00E52673" w:rsidRDefault="0067289E" w:rsidP="0067289E">
            <w:pPr>
              <w:pStyle w:val="VAHItabletext"/>
              <w:rPr>
                <w:color w:val="696969"/>
                <w:szCs w:val="18"/>
              </w:rPr>
            </w:pPr>
          </w:p>
        </w:tc>
        <w:tc>
          <w:tcPr>
            <w:tcW w:w="4820" w:type="dxa"/>
          </w:tcPr>
          <w:p w14:paraId="34570FAB" w14:textId="4AEEEE66" w:rsidR="0067289E" w:rsidRPr="00E52673" w:rsidRDefault="0067289E" w:rsidP="0067289E">
            <w:pPr>
              <w:pStyle w:val="VAHItabletext"/>
              <w:rPr>
                <w:rFonts w:eastAsia="Verdana" w:cs="Verdana"/>
                <w:color w:val="696969"/>
                <w:szCs w:val="18"/>
              </w:rPr>
            </w:pPr>
            <w:r w:rsidRPr="00E52673">
              <w:rPr>
                <w:color w:val="696969"/>
              </w:rPr>
              <w:t>Measure reports on clinically significant change as opposed to overall change. Results during 2011, 2012, 2016 and 2017 were affected by industrial activity and should be interpreted with caution.</w:t>
            </w:r>
          </w:p>
        </w:tc>
      </w:tr>
      <w:tr w:rsidR="0067289E" w:rsidRPr="0069621D" w14:paraId="49BDEAE8" w14:textId="77777777" w:rsidTr="000B0CCC">
        <w:trPr>
          <w:cantSplit/>
        </w:trPr>
        <w:tc>
          <w:tcPr>
            <w:tcW w:w="1702" w:type="dxa"/>
            <w:shd w:val="clear" w:color="auto" w:fill="auto"/>
          </w:tcPr>
          <w:p w14:paraId="3B2286F9" w14:textId="77777777" w:rsidR="0067289E" w:rsidRPr="00E52673" w:rsidRDefault="0067289E" w:rsidP="0067289E">
            <w:pPr>
              <w:pStyle w:val="VAHItabletext"/>
              <w:rPr>
                <w:color w:val="696969"/>
                <w:szCs w:val="18"/>
              </w:rPr>
            </w:pPr>
          </w:p>
        </w:tc>
        <w:tc>
          <w:tcPr>
            <w:tcW w:w="1842" w:type="dxa"/>
          </w:tcPr>
          <w:p w14:paraId="36A0DFA4" w14:textId="6DA5C7AA"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54B0609B" w14:textId="200B1C27" w:rsidR="0067289E" w:rsidRPr="00E52673" w:rsidRDefault="0067289E" w:rsidP="0067289E">
            <w:pPr>
              <w:pStyle w:val="VAHItabletext"/>
              <w:rPr>
                <w:rFonts w:eastAsia="Verdana" w:cs="Verdana"/>
                <w:color w:val="696969"/>
                <w:szCs w:val="18"/>
              </w:rPr>
            </w:pPr>
            <w:r w:rsidRPr="00E52673">
              <w:rPr>
                <w:color w:val="696969"/>
              </w:rPr>
              <w:t>Percentage of collection occasions in a community setting where consumers completed a relevant consumer self-assessment measurement scale (BASIS-32/SDQ).</w:t>
            </w:r>
          </w:p>
        </w:tc>
        <w:tc>
          <w:tcPr>
            <w:tcW w:w="1559" w:type="dxa"/>
          </w:tcPr>
          <w:p w14:paraId="0D7705D6" w14:textId="278ED0DB" w:rsidR="0067289E" w:rsidRPr="00E52673" w:rsidRDefault="0067289E" w:rsidP="0067289E">
            <w:pPr>
              <w:pStyle w:val="VAHItabletext"/>
              <w:rPr>
                <w:rFonts w:eastAsia="Verdana" w:cs="Verdana"/>
                <w:color w:val="696969"/>
                <w:szCs w:val="18"/>
              </w:rPr>
            </w:pPr>
          </w:p>
        </w:tc>
        <w:tc>
          <w:tcPr>
            <w:tcW w:w="4820" w:type="dxa"/>
          </w:tcPr>
          <w:p w14:paraId="2A2788F5" w14:textId="3570797F" w:rsidR="0067289E" w:rsidRPr="00E52673" w:rsidRDefault="0067289E" w:rsidP="0067289E">
            <w:pPr>
              <w:pStyle w:val="VAHItabletext"/>
              <w:rPr>
                <w:rFonts w:eastAsia="Verdana" w:cs="Verdana"/>
                <w:color w:val="696969"/>
                <w:szCs w:val="18"/>
              </w:rPr>
            </w:pPr>
            <w:r w:rsidRPr="00E52673">
              <w:rPr>
                <w:color w:val="696969"/>
              </w:rPr>
              <w:t>Measure can be an indicator of service engagement with families and carers. Results during 2011, 2012, 2016 and 2017 were affected by industrial activity and should be interpreted with caution.</w:t>
            </w:r>
          </w:p>
        </w:tc>
      </w:tr>
      <w:tr w:rsidR="0067289E" w:rsidRPr="0069621D" w14:paraId="34B4389C" w14:textId="77777777" w:rsidTr="000B0CCC">
        <w:trPr>
          <w:cantSplit/>
        </w:trPr>
        <w:tc>
          <w:tcPr>
            <w:tcW w:w="1702" w:type="dxa"/>
            <w:shd w:val="clear" w:color="auto" w:fill="auto"/>
          </w:tcPr>
          <w:p w14:paraId="15E9A033" w14:textId="77777777" w:rsidR="0067289E" w:rsidRPr="00E52673" w:rsidRDefault="0067289E" w:rsidP="0067289E">
            <w:pPr>
              <w:pStyle w:val="VAHItabletext"/>
              <w:rPr>
                <w:color w:val="696969"/>
                <w:szCs w:val="18"/>
              </w:rPr>
            </w:pPr>
          </w:p>
        </w:tc>
        <w:tc>
          <w:tcPr>
            <w:tcW w:w="1842" w:type="dxa"/>
          </w:tcPr>
          <w:p w14:paraId="3EB376CE" w14:textId="5EC9328A" w:rsidR="0067289E" w:rsidRPr="00E52673" w:rsidRDefault="0067289E" w:rsidP="0067289E">
            <w:pPr>
              <w:pStyle w:val="VAHItabletext"/>
              <w:rPr>
                <w:rFonts w:eastAsia="Verdana" w:cs="Verdana"/>
                <w:color w:val="696969"/>
                <w:szCs w:val="18"/>
              </w:rPr>
            </w:pPr>
            <w:r w:rsidRPr="00E52673">
              <w:rPr>
                <w:color w:val="696969"/>
              </w:rPr>
              <w:t>Average change in clinically significant items</w:t>
            </w:r>
          </w:p>
        </w:tc>
        <w:tc>
          <w:tcPr>
            <w:tcW w:w="5103" w:type="dxa"/>
          </w:tcPr>
          <w:p w14:paraId="05E1921C" w14:textId="383D61BC" w:rsidR="0067289E" w:rsidRPr="00E52673" w:rsidRDefault="0067289E" w:rsidP="0067289E">
            <w:pPr>
              <w:pStyle w:val="VAHItabletext"/>
              <w:rPr>
                <w:rFonts w:eastAsia="Verdana" w:cs="Verdana"/>
                <w:color w:val="696969"/>
                <w:szCs w:val="18"/>
              </w:rPr>
            </w:pPr>
            <w:r w:rsidRPr="00E52673">
              <w:rPr>
                <w:color w:val="696969"/>
              </w:rPr>
              <w:t>Difference in average number of 'clinically significant' HoNOS scales (HoNOSCA/HNSADL/HoNOS65) at community case start and end, excluding invalid scores (more than two times rated as '9'), HoNOSCA questions 14 and 15, and HNSADL/HoNOS65 questions 11 and 12.</w:t>
            </w:r>
          </w:p>
        </w:tc>
        <w:tc>
          <w:tcPr>
            <w:tcW w:w="1559" w:type="dxa"/>
          </w:tcPr>
          <w:p w14:paraId="39AEE469" w14:textId="77777777" w:rsidR="0067289E" w:rsidRPr="00E52673" w:rsidRDefault="0067289E" w:rsidP="0067289E">
            <w:pPr>
              <w:pStyle w:val="VAHItabletext"/>
              <w:rPr>
                <w:color w:val="696969"/>
                <w:szCs w:val="18"/>
              </w:rPr>
            </w:pPr>
          </w:p>
        </w:tc>
        <w:tc>
          <w:tcPr>
            <w:tcW w:w="4820" w:type="dxa"/>
          </w:tcPr>
          <w:p w14:paraId="057D5861" w14:textId="2EBA2028" w:rsidR="0067289E" w:rsidRPr="00E52673" w:rsidRDefault="0067289E" w:rsidP="0067289E">
            <w:pPr>
              <w:pStyle w:val="VAHItabletext"/>
              <w:rPr>
                <w:rFonts w:eastAsia="Verdana" w:cs="Verdana"/>
                <w:color w:val="696969"/>
                <w:szCs w:val="18"/>
              </w:rPr>
            </w:pPr>
            <w:r w:rsidRPr="00E52673">
              <w:rPr>
                <w:color w:val="696969"/>
              </w:rPr>
              <w:t xml:space="preserve">Measure is an alternative indicator of symptom severity reduction based on split of each HoNOS item into clinically significant (2,3,4) or not (0,1) rather than the sum of each scaled measure. Results during 2011, 2012, 2016 and 2017 were affected by industrial activity and should be interpreted with caution. </w:t>
            </w:r>
          </w:p>
        </w:tc>
      </w:tr>
      <w:tr w:rsidR="0067289E" w:rsidRPr="0069621D" w14:paraId="12C4D44E" w14:textId="77777777" w:rsidTr="000B0CCC">
        <w:trPr>
          <w:cantSplit/>
        </w:trPr>
        <w:tc>
          <w:tcPr>
            <w:tcW w:w="1702" w:type="dxa"/>
            <w:shd w:val="clear" w:color="auto" w:fill="auto"/>
          </w:tcPr>
          <w:p w14:paraId="00EC9B6E" w14:textId="77777777" w:rsidR="0067289E" w:rsidRPr="00E52673" w:rsidRDefault="0067289E" w:rsidP="0067289E">
            <w:pPr>
              <w:pStyle w:val="VAHItabletext"/>
              <w:rPr>
                <w:color w:val="696969"/>
                <w:szCs w:val="18"/>
              </w:rPr>
            </w:pPr>
          </w:p>
        </w:tc>
        <w:tc>
          <w:tcPr>
            <w:tcW w:w="1842" w:type="dxa"/>
          </w:tcPr>
          <w:p w14:paraId="10138DE0" w14:textId="37FB50B0" w:rsidR="0067289E" w:rsidRPr="00E52673" w:rsidRDefault="0067289E" w:rsidP="0067289E">
            <w:pPr>
              <w:pStyle w:val="VAHItabletext"/>
              <w:rPr>
                <w:rFonts w:eastAsia="Verdana" w:cs="Verdana"/>
                <w:color w:val="696969"/>
                <w:szCs w:val="18"/>
              </w:rPr>
            </w:pPr>
            <w:r w:rsidRPr="00E52673">
              <w:rPr>
                <w:color w:val="696969"/>
              </w:rPr>
              <w:t>CAMHS consumers aged under 12</w:t>
            </w:r>
          </w:p>
        </w:tc>
        <w:tc>
          <w:tcPr>
            <w:tcW w:w="5103" w:type="dxa"/>
          </w:tcPr>
          <w:p w14:paraId="593685B8" w14:textId="755CB5D7" w:rsidR="0067289E" w:rsidRPr="00E52673" w:rsidRDefault="0067289E" w:rsidP="0067289E">
            <w:pPr>
              <w:pStyle w:val="VAHItabletext"/>
              <w:rPr>
                <w:rFonts w:eastAsia="Verdana" w:cs="Verdana"/>
                <w:color w:val="696969"/>
                <w:szCs w:val="18"/>
              </w:rPr>
            </w:pPr>
            <w:r w:rsidRPr="00E52673">
              <w:rPr>
                <w:color w:val="696969"/>
              </w:rPr>
              <w:t>Percentage of child and adolescent mental health service (CAMHS) consumers who were aged under 12 years.</w:t>
            </w:r>
          </w:p>
        </w:tc>
        <w:tc>
          <w:tcPr>
            <w:tcW w:w="1559" w:type="dxa"/>
          </w:tcPr>
          <w:p w14:paraId="1BB4C3CB" w14:textId="77777777" w:rsidR="0067289E" w:rsidRPr="00E52673" w:rsidRDefault="0067289E" w:rsidP="0067289E">
            <w:pPr>
              <w:pStyle w:val="VAHItabletext"/>
              <w:rPr>
                <w:color w:val="696969"/>
                <w:szCs w:val="18"/>
              </w:rPr>
            </w:pPr>
          </w:p>
        </w:tc>
        <w:tc>
          <w:tcPr>
            <w:tcW w:w="4820" w:type="dxa"/>
          </w:tcPr>
          <w:p w14:paraId="00C7F9BF" w14:textId="4F056E47"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bl>
    <w:p w14:paraId="0A0CDFF3" w14:textId="77777777" w:rsidR="00CF11E1" w:rsidRDefault="00CF11E1" w:rsidP="00CF11E1">
      <w:pPr>
        <w:pStyle w:val="VAHIbody"/>
        <w:rPr>
          <w:i/>
          <w:color w:val="D50032"/>
          <w:sz w:val="26"/>
          <w:szCs w:val="26"/>
        </w:rPr>
      </w:pPr>
    </w:p>
    <w:p w14:paraId="2AF81F08" w14:textId="0079EDC5" w:rsidR="00873CC2" w:rsidRDefault="00873CC2" w:rsidP="00CF11E1">
      <w:pPr>
        <w:pStyle w:val="VAHIbody"/>
        <w:rPr>
          <w:color w:val="D50032"/>
          <w:sz w:val="26"/>
          <w:szCs w:val="26"/>
        </w:rPr>
      </w:pPr>
    </w:p>
    <w:p w14:paraId="60A3605A" w14:textId="6C2F10D4" w:rsidR="00314B0A" w:rsidRDefault="00314B0A" w:rsidP="00CF11E1">
      <w:pPr>
        <w:pStyle w:val="VAHIbody"/>
        <w:rPr>
          <w:color w:val="D50032"/>
          <w:sz w:val="26"/>
          <w:szCs w:val="26"/>
        </w:rPr>
      </w:pPr>
    </w:p>
    <w:p w14:paraId="64A58F5F" w14:textId="77777777" w:rsidR="00314B0A" w:rsidRPr="00314B0A" w:rsidRDefault="00314B0A" w:rsidP="00CF11E1">
      <w:pPr>
        <w:pStyle w:val="VAHIbody"/>
        <w:rPr>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A47400">
        <w:trPr>
          <w:cantSplit/>
        </w:trPr>
        <w:tc>
          <w:tcPr>
            <w:tcW w:w="48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10"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6"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383F844B" w:rsidR="00CF11E1" w:rsidRPr="00BE2218" w:rsidRDefault="00CF11E1" w:rsidP="00A47400">
            <w:pPr>
              <w:pStyle w:val="VAHIbody"/>
            </w:pPr>
            <w:r w:rsidRPr="00BE2218">
              <w:t xml:space="preserve">© State of Victoria, Department of Health and Human Services </w:t>
            </w:r>
            <w:r w:rsidR="00AC5C83">
              <w:t>July</w:t>
            </w:r>
            <w:r w:rsidR="00C304B4">
              <w:t xml:space="preserve"> 2020</w:t>
            </w:r>
            <w:r w:rsidR="00C40B45">
              <w:t>.</w:t>
            </w:r>
          </w:p>
          <w:p w14:paraId="024159C8" w14:textId="0AA2725A" w:rsidR="00CF11E1" w:rsidRPr="00BE2218" w:rsidRDefault="00941BD3" w:rsidP="00A47400">
            <w:pPr>
              <w:pStyle w:val="VAHIbody"/>
            </w:pPr>
            <w:r w:rsidRPr="00602735">
              <w:t xml:space="preserve">Available from </w:t>
            </w:r>
            <w:hyperlink r:id="rId17" w:history="1">
              <w:r w:rsidRPr="00602735">
                <w:rPr>
                  <w:rStyle w:val="Hyperlink"/>
                </w:rPr>
                <w:t>Child and adolescent mental health (CAMHS) performance indicator reports page</w:t>
              </w:r>
            </w:hyperlink>
            <w:r w:rsidRPr="00602735">
              <w:t xml:space="preserve"> &lt; https://www2.health.vic.gov.au/mental-health/research-and-reporting/mental-health-performance-reports/child-and-adolescent-performance-indicator-reports&gt; on the Health.vic website.</w:t>
            </w:r>
          </w:p>
        </w:tc>
      </w:tr>
      <w:bookmarkEnd w:id="10"/>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8"/>
      <w:footerReference w:type="default" r:id="rId19"/>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4313B" w14:textId="77777777" w:rsidR="007E2EBF" w:rsidRDefault="007E2EBF">
      <w:r>
        <w:separator/>
      </w:r>
    </w:p>
  </w:endnote>
  <w:endnote w:type="continuationSeparator" w:id="0">
    <w:p w14:paraId="398BD098" w14:textId="77777777" w:rsidR="007E2EBF" w:rsidRDefault="007E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875E8" w14:textId="77777777" w:rsidR="0021747B" w:rsidRDefault="002174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11B3" w14:textId="7E152AE1" w:rsidR="00C40B45" w:rsidRDefault="00C40B45">
    <w:pPr>
      <w:pStyle w:val="Footer"/>
    </w:pPr>
    <w:r>
      <w:rPr>
        <w:noProof/>
      </w:rPr>
      <mc:AlternateContent>
        <mc:Choice Requires="wps">
          <w:drawing>
            <wp:anchor distT="0" distB="0" distL="114300" distR="114300" simplePos="0" relativeHeight="251659264" behindDoc="0" locked="0" layoutInCell="0" allowOverlap="1" wp14:anchorId="0D1AEAA9" wp14:editId="64BBC77C">
              <wp:simplePos x="0" y="0"/>
              <wp:positionH relativeFrom="page">
                <wp:posOffset>0</wp:posOffset>
              </wp:positionH>
              <wp:positionV relativeFrom="page">
                <wp:posOffset>7103110</wp:posOffset>
              </wp:positionV>
              <wp:extent cx="10692130" cy="266700"/>
              <wp:effectExtent l="0" t="0" r="0" b="0"/>
              <wp:wrapNone/>
              <wp:docPr id="2" name="MSIPCMae0440d982fcd5b925243664" descr="{&quot;HashCode&quot;:904758361,&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AB0461" w14:textId="5B45BAAB"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1AEAA9" id="_x0000_t202" coordsize="21600,21600" o:spt="202" path="m,l,21600r21600,l21600,xe">
              <v:stroke joinstyle="miter"/>
              <v:path gradientshapeok="t" o:connecttype="rect"/>
            </v:shapetype>
            <v:shape id="MSIPCMae0440d982fcd5b925243664" o:spid="_x0000_s1027" type="#_x0000_t202" alt="{&quot;HashCode&quot;:904758361,&quot;Height&quot;:595.0,&quot;Width&quot;:841.0,&quot;Placement&quot;:&quot;Footer&quot;,&quot;Index&quot;:&quot;Primary&quot;,&quot;Section&quot;:1,&quot;Top&quot;:0.0,&quot;Left&quot;:0.0}" style="position:absolute;margin-left:0;margin-top:559.3pt;width:841.9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pLGQMAADYGAAAOAAAAZHJzL2Uyb0RvYy54bWysVEtv2zAMvg/YfxB02GmpH3Hc2KtbpCmy&#10;FUjbAOnQsyLLtTBbciWlcVb0v4+S7fSxHYZhF4kiKYr8+IknZ21doUemNJciw8GRjxETVOZc3Gf4&#10;++1iNMVIGyJyUknBMrxnGp+dfvxwsmtSFspSVjlTCIIIne6aDJfGNKnnaVqymugj2TABxkKqmhg4&#10;qnsvV2QH0evKC30/9nZS5Y2SlGkN2ovOiE9d/KJg1NwUhWYGVRmG3IxblVs3dvVOT0h6r0hTctqn&#10;Qf4hi5pwAY8eQl0QQ9BW8d9C1ZwqqWVhjqisPVkUnDJXA1QT+O+qWZekYa4WAEc3B5j0/wtLrx9X&#10;CvE8wyFGgtTQoqv15Wp+RZgfRX6eTMOC5pNNEk7CaBzHEUY50xQQfPr0sJXmyzeiy7nMWXdKEz86&#10;nkzHcfC5NzN+X5reOEkmR35vuOO5KXv9NALi9PpVRSirmRjudC4LKQ1Tndw7XoqctX2AblspXhO1&#10;f+O1BgYANXu/Iatb2fQa//DwkhXDm6B8tszYNToFgNYNQGTac9kCwwe9BqVteFuo2u7QSgR24Nj+&#10;wCvWGkTtJT9OwmAMNgrGMI6Pfcc87+V6o7T5ymSNrJBhBWk7PpHHpTaQCrgOLvY1IRe8qhx5K4F2&#10;GY7HE99dOFjgRiWsL2QBMXqpI+VTEoSRfx4mo0U8PR5Fi2gySo796cgPkvMk9qMkulg823hBlJY8&#10;z5lYcsGGDxJEf0fA/qt21HZf5E2qWlY8t3XY3Gx180qhRwI/dQMk+GGRhiJeeXlv03FmqG7YXZWe&#10;bVrXHCuZdtP2ndzIfA+NVBLwhVbohi44PLok2qyIgl8PSphk5gaWopIAquwljEqpfv5Jb/0BC7Bi&#10;tIMpkmH9sCWKYVRdCvimSQCfCMaOO4CgXms3g1Zs67mEsgOXlROtr6kGsVCyvoNBN7OvgYkICm8C&#10;ToM4N3ACAwxKymYzJ8OAaYhZinVDbegB5Nv2jqim55kB+K7lMGdI+o5una+9KeRsa2TBHRctsB2a&#10;AL09wHByTegHqZ1+r8/O62Xcn/4CAAD//wMAUEsDBBQABgAIAAAAIQCXdhei3gAAAAsBAAAPAAAA&#10;ZHJzL2Rvd25yZXYueG1sTI/NTsMwEITvSLyDtUjcqBOoohDiVAjEBalCFMTZiTc/TbyOYrdN3p7N&#10;CY47M5qdL9/NdhBnnHznSEG8iUAgVc501Cj4/nq7S0H4oMnowREqWNDDrri+ynVm3IU+8XwIjeAS&#10;8plW0IYwZlL6qkWr/caNSOzVbrI68Dk10kz6wuV2kPdRlEirO+IPrR7xpcWqP5ysgu3HY1nLY2+P&#10;++V9Wbq+/nkta6Vub+bnJxAB5/AXhnU+T4eCN5XuRMaLQQGDBFbjOE1ArH6SPjBLuWpJlIAscvmf&#10;ofgFAAD//wMAUEsBAi0AFAAGAAgAAAAhALaDOJL+AAAA4QEAABMAAAAAAAAAAAAAAAAAAAAAAFtD&#10;b250ZW50X1R5cGVzXS54bWxQSwECLQAUAAYACAAAACEAOP0h/9YAAACUAQAACwAAAAAAAAAAAAAA&#10;AAAvAQAAX3JlbHMvLnJlbHNQSwECLQAUAAYACAAAACEAhAxaSxkDAAA2BgAADgAAAAAAAAAAAAAA&#10;AAAuAgAAZHJzL2Uyb0RvYy54bWxQSwECLQAUAAYACAAAACEAl3YXot4AAAALAQAADwAAAAAAAAAA&#10;AAAAAABzBQAAZHJzL2Rvd25yZXYueG1sUEsFBgAAAAAEAAQA8wAAAH4GAAAAAA==&#10;" o:allowincell="f" filled="f" stroked="f" strokeweight=".5pt">
              <v:textbox inset=",0,,0">
                <w:txbxContent>
                  <w:p w14:paraId="37AB0461" w14:textId="5B45BAAB"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F2819" w14:textId="77777777" w:rsidR="0021747B" w:rsidRDefault="002174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5DEAFA98" w:rsidR="007F209B" w:rsidRDefault="00C40B45" w:rsidP="000B0CCC">
    <w:pPr>
      <w:pStyle w:val="VAHIfooter"/>
      <w:rPr>
        <w:b w:val="0"/>
        <w:color w:val="244C5A"/>
      </w:rPr>
    </w:pPr>
    <w:r>
      <w:rPr>
        <w:b w:val="0"/>
        <w:noProof/>
        <w:color w:val="244C5A"/>
        <w:sz w:val="16"/>
        <w:szCs w:val="16"/>
      </w:rPr>
      <mc:AlternateContent>
        <mc:Choice Requires="wps">
          <w:drawing>
            <wp:anchor distT="0" distB="0" distL="114300" distR="114300" simplePos="0" relativeHeight="251660288" behindDoc="0" locked="0" layoutInCell="0" allowOverlap="1" wp14:anchorId="130279F9" wp14:editId="1F00223A">
              <wp:simplePos x="0" y="0"/>
              <wp:positionH relativeFrom="page">
                <wp:posOffset>0</wp:posOffset>
              </wp:positionH>
              <wp:positionV relativeFrom="page">
                <wp:posOffset>7103110</wp:posOffset>
              </wp:positionV>
              <wp:extent cx="10692130" cy="266700"/>
              <wp:effectExtent l="0" t="0" r="0" b="0"/>
              <wp:wrapNone/>
              <wp:docPr id="5" name="MSIPCMe10f4b0fa84e9a510bd9b715" descr="{&quot;HashCode&quot;:904758361,&quot;Height&quot;:595.0,&quot;Width&quot;:841.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1C7CC8" w14:textId="51D5F396"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0279F9" id="_x0000_t202" coordsize="21600,21600" o:spt="202" path="m,l,21600r21600,l21600,xe">
              <v:stroke joinstyle="miter"/>
              <v:path gradientshapeok="t" o:connecttype="rect"/>
            </v:shapetype>
            <v:shape id="MSIPCMe10f4b0fa84e9a510bd9b715" o:spid="_x0000_s1028" type="#_x0000_t202" alt="{&quot;HashCode&quot;:904758361,&quot;Height&quot;:595.0,&quot;Width&quot;:841.0,&quot;Placement&quot;:&quot;Footer&quot;,&quot;Index&quot;:&quot;Primary&quot;,&quot;Section&quot;:3,&quot;Top&quot;:0.0,&quot;Left&quot;:0.0}" style="position:absolute;margin-left:0;margin-top:559.3pt;width:841.9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S3GAMAAD0GAAAOAAAAZHJzL2Uyb0RvYy54bWysVFtv2jAUfp+0/xD5YU+DOBACYQ0VpWKr&#10;RFskOvXZOA6xltipbUpY1f++Yyehl+1hmvZiH5/75fM5O6/LwntkSnMpEhT0MfKYoDLlYpeg73fL&#10;3gR52hCRkkIKlqAj0+h89vHD2aGasoHMZZEy5YEToaeHKkG5MdXU9zXNWUl0X1ZMgDCTqiQGnmrn&#10;p4ocwHtZ+AOMI/8gVVopSZnWwL1shGjm/GcZo+Y2yzQzXpEgyM24U7lza09/dkamO0WqnNM2DfIP&#10;WZSECwh6cnVJDPH2iv/mquRUSS0z06ey9GWWccpcDVBNgN9Vs8lJxVwt0Bxdndqk/59bevO4Vh5P&#10;EzRCniAljOh6c7VeXLMAZ+EWZ2QSspiMArxN4+04AK2UaQodfPr0sJfmyzei84VMWfOaxjgcjybD&#10;KPjcihnf5aYVjuJRH7eCe56avOVPQgBOy18XhLKSic6mUVlKaZhq6FbxSqSsbh0011rxkqjjG60N&#10;IACg2eoNW9s7WbUcfAq8YlkXE5jPFhmHSk+hQZsKWmTqC1kDwju+BqYdeJ2p0t4wSg/kgLHjCVes&#10;Nh61RjiKB8EQZBSEgygaY4c8/8W8Utp8ZbL0LJEgBWk7PJHHlTaQCqh2KjaakEteFA68hfAOCYqG&#10;I+wMThKwKITVhSzAR0s1oHyKg0GILwZxbxlNxr1wGY568RhPejiIL+IIh3F4uXy2/oJwmvM0ZWLF&#10;Bes+SBD+HQDbr9pA232RN6lqWfDU1mFzs9UtCuU9EvipWwDBD9tpKOKVlv82HSeG6rrbVenboTXD&#10;sZSpt7WD92lwW5keYZ5KQpthIrqiSw6xV0SbNVHw+YEJC83cwpEVEnorWwp5uVQ//8S3+tASkCLv&#10;AMskQfphTxRDXnEl4LfGQRiCW+MeQKjX3G3HFftyIaH6wGXlSKtrio7MlCzvYd/NbTQQEUEhJrSr&#10;IxcGXiCAfUnZfO5o2DMVMSuxqah13fX6rr4nqmrhZqCLN7JbN2T6DnWNrrUUcr43MuMOkra/TTdh&#10;AvYBO8rNot2ndgm+fjutl60/+wUAAP//AwBQSwMEFAAGAAgAAAAhAJd2F6LeAAAACwEAAA8AAABk&#10;cnMvZG93bnJldi54bWxMj81OwzAQhO9IvIO1SNyoE6iiEOJUCMQFqUIUxNmJNz9NvI5it03ens0J&#10;jjszmp0v3812EGecfOdIQbyJQCBVznTUKPj+ertLQfigyejBESpY0MOuuL7KdWbchT7xfAiN4BLy&#10;mVbQhjBmUvqqRav9xo1I7NVusjrwOTXSTPrC5XaQ91GUSKs74g+tHvGlxao/nKyC7cdjWctjb4/7&#10;5X1Zur7+eS1rpW5v5ucnEAHn8BeGdT5Ph4I3le5ExotBAYMEVuM4TUCsfpI+MEu5akmUgCxy+Z+h&#10;+AUAAP//AwBQSwECLQAUAAYACAAAACEAtoM4kv4AAADhAQAAEwAAAAAAAAAAAAAAAAAAAAAAW0Nv&#10;bnRlbnRfVHlwZXNdLnhtbFBLAQItABQABgAIAAAAIQA4/SH/1gAAAJQBAAALAAAAAAAAAAAAAAAA&#10;AC8BAABfcmVscy8ucmVsc1BLAQItABQABgAIAAAAIQBsmjS3GAMAAD0GAAAOAAAAAAAAAAAAAAAA&#10;AC4CAABkcnMvZTJvRG9jLnhtbFBLAQItABQABgAIAAAAIQCXdhei3gAAAAsBAAAPAAAAAAAAAAAA&#10;AAAAAHIFAABkcnMvZG93bnJldi54bWxQSwUGAAAAAAQABADzAAAAfQYAAAAA&#10;" o:allowincell="f" filled="f" stroked="f" strokeweight=".5pt">
              <v:textbox inset=",0,,0">
                <w:txbxContent>
                  <w:p w14:paraId="591C7CC8" w14:textId="51D5F396" w:rsidR="00C40B45" w:rsidRPr="00C40B45" w:rsidRDefault="00C40B45" w:rsidP="00C40B45">
                    <w:pPr>
                      <w:jc w:val="center"/>
                      <w:rPr>
                        <w:rFonts w:ascii="Arial Black" w:hAnsi="Arial Black"/>
                        <w:color w:val="000000"/>
                        <w:sz w:val="20"/>
                      </w:rPr>
                    </w:pPr>
                    <w:r w:rsidRPr="00C40B45">
                      <w:rPr>
                        <w:rFonts w:ascii="Arial Black" w:hAnsi="Arial Black"/>
                        <w:color w:val="000000"/>
                        <w:sz w:val="20"/>
                      </w:rPr>
                      <w:t>OFFICIAL</w:t>
                    </w:r>
                  </w:p>
                </w:txbxContent>
              </v:textbox>
              <w10:wrap anchorx="page" anchory="page"/>
            </v:shape>
          </w:pict>
        </mc:Fallback>
      </mc:AlternateContent>
    </w:r>
    <w:r w:rsidR="007F209B" w:rsidRPr="000B0CCC">
      <w:rPr>
        <w:b w:val="0"/>
        <w:color w:val="244C5A"/>
        <w:sz w:val="16"/>
        <w:szCs w:val="16"/>
      </w:rPr>
      <w:t xml:space="preserve">Data Source: CMI/ODS, as at </w:t>
    </w:r>
    <w:r w:rsidR="00C304B4">
      <w:rPr>
        <w:b w:val="0"/>
        <w:color w:val="244C5A"/>
        <w:sz w:val="16"/>
        <w:szCs w:val="16"/>
      </w:rPr>
      <w:t xml:space="preserve">10 </w:t>
    </w:r>
    <w:r w:rsidR="00AC5C83">
      <w:rPr>
        <w:b w:val="0"/>
        <w:color w:val="244C5A"/>
        <w:sz w:val="16"/>
        <w:szCs w:val="16"/>
      </w:rPr>
      <w:t>July</w:t>
    </w:r>
    <w:r w:rsidR="00C304B4">
      <w:rPr>
        <w:b w:val="0"/>
        <w:color w:val="244C5A"/>
        <w:sz w:val="16"/>
        <w:szCs w:val="16"/>
      </w:rPr>
      <w:t xml:space="preserve"> 2020</w:t>
    </w:r>
    <w:r w:rsidR="007F209B" w:rsidRPr="000B0CCC">
      <w:rPr>
        <w:b w:val="0"/>
        <w:color w:val="244C5A"/>
        <w:sz w:val="16"/>
        <w:szCs w:val="16"/>
      </w:rPr>
      <w:t>.</w:t>
    </w:r>
    <w:r w:rsidR="007F209B" w:rsidRPr="0069621D">
      <w:rPr>
        <w:b w:val="0"/>
        <w:color w:val="244C5A"/>
      </w:rPr>
      <w:t xml:space="preserve"> </w:t>
    </w:r>
    <w:r w:rsidR="007F209B">
      <w:rPr>
        <w:b w:val="0"/>
        <w:color w:val="244C5A"/>
      </w:rPr>
      <w:tab/>
    </w:r>
    <w:r w:rsidR="007F209B" w:rsidRPr="000B0CCC">
      <w:rPr>
        <w:rFonts w:ascii="VIC SemiBold" w:hAnsi="VIC SemiBold"/>
        <w:b w:val="0"/>
        <w:color w:val="244C5A"/>
      </w:rPr>
      <w:t>Victorian Agency for Health Information</w:t>
    </w:r>
  </w:p>
  <w:p w14:paraId="4FEACEF3" w14:textId="33F472A0" w:rsidR="007F209B" w:rsidRPr="000B0CCC" w:rsidRDefault="007F209B" w:rsidP="000B0CCC">
    <w:pPr>
      <w:pStyle w:val="VAHIfooter"/>
      <w:rPr>
        <w:b w:val="0"/>
        <w:color w:val="244C5A"/>
      </w:rPr>
    </w:pPr>
    <w:r w:rsidRPr="000B0CCC">
      <w:rPr>
        <w:b w:val="0"/>
        <w:color w:val="244C5A"/>
        <w:sz w:val="16"/>
        <w:szCs w:val="16"/>
      </w:rPr>
      <w:t>Blank results indicate KPI result is not applicable in this instance.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41BED" w14:textId="77777777" w:rsidR="007E2EBF" w:rsidRDefault="007E2EBF" w:rsidP="002862F1">
      <w:pPr>
        <w:spacing w:before="120"/>
      </w:pPr>
      <w:r>
        <w:separator/>
      </w:r>
    </w:p>
  </w:footnote>
  <w:footnote w:type="continuationSeparator" w:id="0">
    <w:p w14:paraId="05AB0926" w14:textId="77777777" w:rsidR="007E2EBF" w:rsidRDefault="007E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60F0A" w14:textId="77777777" w:rsidR="0021747B" w:rsidRDefault="00217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9C2F4" w14:textId="77777777" w:rsidR="0021747B" w:rsidRDefault="00217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23E5" w14:textId="77777777" w:rsidR="0021747B" w:rsidRDefault="002174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F3502" w14:textId="59B17979" w:rsidR="00AC5C83" w:rsidRPr="00052DAD" w:rsidRDefault="00DB17C1" w:rsidP="00AC5C83">
    <w:pPr>
      <w:ind w:hanging="284"/>
      <w:rPr>
        <w:rFonts w:ascii="VIC Medium" w:hAnsi="VIC Medium"/>
        <w:color w:val="244C5A"/>
        <w:szCs w:val="24"/>
      </w:rPr>
    </w:pPr>
    <w:r>
      <w:rPr>
        <w:rFonts w:ascii="VIC Medium" w:hAnsi="VIC Medium"/>
        <w:color w:val="244C5A"/>
        <w:szCs w:val="24"/>
      </w:rPr>
      <w:t>CYMHS/CAMHS</w:t>
    </w:r>
    <w:r w:rsidR="004323E3">
      <w:rPr>
        <w:rFonts w:ascii="VIC Medium" w:hAnsi="VIC Medium"/>
        <w:color w:val="244C5A"/>
        <w:szCs w:val="24"/>
      </w:rPr>
      <w:t xml:space="preserve"> </w:t>
    </w:r>
    <w:r w:rsidR="007F209B" w:rsidRPr="00052DAD">
      <w:rPr>
        <w:rFonts w:ascii="VIC Medium" w:hAnsi="VIC Medium"/>
        <w:color w:val="244C5A"/>
        <w:szCs w:val="24"/>
      </w:rPr>
      <w:t xml:space="preserve">mental health quarterly KPI report, </w:t>
    </w:r>
    <w:r w:rsidR="007F209B">
      <w:rPr>
        <w:rFonts w:ascii="VIC Medium" w:hAnsi="VIC Medium"/>
        <w:color w:val="244C5A"/>
        <w:szCs w:val="24"/>
      </w:rPr>
      <w:t>2019</w:t>
    </w:r>
    <w:r w:rsidR="00C304B4">
      <w:rPr>
        <w:rFonts w:ascii="VIC Medium" w:hAnsi="VIC Medium"/>
        <w:color w:val="244C5A"/>
        <w:szCs w:val="24"/>
      </w:rPr>
      <w:t>–</w:t>
    </w:r>
    <w:r w:rsidR="007F209B">
      <w:rPr>
        <w:rFonts w:ascii="VIC Medium" w:hAnsi="VIC Medium"/>
        <w:color w:val="244C5A"/>
        <w:szCs w:val="24"/>
      </w:rPr>
      <w:t>20 Q</w:t>
    </w:r>
    <w:r w:rsidR="00AC5C83">
      <w:rPr>
        <w:rFonts w:ascii="VIC Medium" w:hAnsi="VIC Medium"/>
        <w:color w:val="244C5A"/>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92E"/>
    <w:rsid w:val="000B0CCC"/>
    <w:rsid w:val="000B0E2B"/>
    <w:rsid w:val="000B543D"/>
    <w:rsid w:val="000B5BF7"/>
    <w:rsid w:val="000B6BC8"/>
    <w:rsid w:val="000C42EA"/>
    <w:rsid w:val="000C4546"/>
    <w:rsid w:val="000D1242"/>
    <w:rsid w:val="000D3BE3"/>
    <w:rsid w:val="000E3CC7"/>
    <w:rsid w:val="000E6BD4"/>
    <w:rsid w:val="000F1F1E"/>
    <w:rsid w:val="000F2259"/>
    <w:rsid w:val="000F3AD9"/>
    <w:rsid w:val="001005E4"/>
    <w:rsid w:val="0010392D"/>
    <w:rsid w:val="00104FE3"/>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1747B"/>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4B0A"/>
    <w:rsid w:val="00316F27"/>
    <w:rsid w:val="00327870"/>
    <w:rsid w:val="0033259D"/>
    <w:rsid w:val="00335B2C"/>
    <w:rsid w:val="003406C6"/>
    <w:rsid w:val="003418CC"/>
    <w:rsid w:val="00344EBE"/>
    <w:rsid w:val="003459BD"/>
    <w:rsid w:val="00350D38"/>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B4630"/>
    <w:rsid w:val="003C2045"/>
    <w:rsid w:val="003C2440"/>
    <w:rsid w:val="003C43A1"/>
    <w:rsid w:val="003C4FC0"/>
    <w:rsid w:val="003C55F4"/>
    <w:rsid w:val="003C7A3F"/>
    <w:rsid w:val="003D3E8F"/>
    <w:rsid w:val="003D5030"/>
    <w:rsid w:val="003D6475"/>
    <w:rsid w:val="003E2E5F"/>
    <w:rsid w:val="003F0445"/>
    <w:rsid w:val="003F0CF0"/>
    <w:rsid w:val="003F3289"/>
    <w:rsid w:val="00401FCF"/>
    <w:rsid w:val="00406285"/>
    <w:rsid w:val="004118F0"/>
    <w:rsid w:val="00411D08"/>
    <w:rsid w:val="004148F9"/>
    <w:rsid w:val="0042084E"/>
    <w:rsid w:val="0042175D"/>
    <w:rsid w:val="00421EEF"/>
    <w:rsid w:val="00424D65"/>
    <w:rsid w:val="004278E1"/>
    <w:rsid w:val="004323E3"/>
    <w:rsid w:val="004367B3"/>
    <w:rsid w:val="004374DA"/>
    <w:rsid w:val="004415CD"/>
    <w:rsid w:val="00442C6C"/>
    <w:rsid w:val="00442F1C"/>
    <w:rsid w:val="00443CBE"/>
    <w:rsid w:val="00443E8A"/>
    <w:rsid w:val="004441BC"/>
    <w:rsid w:val="0045230A"/>
    <w:rsid w:val="00457337"/>
    <w:rsid w:val="00466B5E"/>
    <w:rsid w:val="0047372D"/>
    <w:rsid w:val="004743DD"/>
    <w:rsid w:val="00474CEA"/>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6C15"/>
    <w:rsid w:val="005273B4"/>
    <w:rsid w:val="00536499"/>
    <w:rsid w:val="00541ADB"/>
    <w:rsid w:val="00543903"/>
    <w:rsid w:val="00547A95"/>
    <w:rsid w:val="00557E03"/>
    <w:rsid w:val="00572031"/>
    <w:rsid w:val="00576E84"/>
    <w:rsid w:val="00582B8C"/>
    <w:rsid w:val="0058757E"/>
    <w:rsid w:val="005954CE"/>
    <w:rsid w:val="00596A4B"/>
    <w:rsid w:val="00597507"/>
    <w:rsid w:val="005A5E67"/>
    <w:rsid w:val="005A692E"/>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289E"/>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66463"/>
    <w:rsid w:val="00770F37"/>
    <w:rsid w:val="00772D5E"/>
    <w:rsid w:val="00776928"/>
    <w:rsid w:val="007836EA"/>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E2EBF"/>
    <w:rsid w:val="007F209B"/>
    <w:rsid w:val="007F31B6"/>
    <w:rsid w:val="007F4356"/>
    <w:rsid w:val="007F46CB"/>
    <w:rsid w:val="007F546C"/>
    <w:rsid w:val="007F665E"/>
    <w:rsid w:val="00800412"/>
    <w:rsid w:val="0080587B"/>
    <w:rsid w:val="00806468"/>
    <w:rsid w:val="008155F0"/>
    <w:rsid w:val="00816735"/>
    <w:rsid w:val="00820141"/>
    <w:rsid w:val="008204A8"/>
    <w:rsid w:val="00820E0C"/>
    <w:rsid w:val="00821AE7"/>
    <w:rsid w:val="00823E4C"/>
    <w:rsid w:val="008338A2"/>
    <w:rsid w:val="00840DF3"/>
    <w:rsid w:val="0084417C"/>
    <w:rsid w:val="00853EE4"/>
    <w:rsid w:val="00855535"/>
    <w:rsid w:val="00856385"/>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900615"/>
    <w:rsid w:val="00900719"/>
    <w:rsid w:val="009017AC"/>
    <w:rsid w:val="00905030"/>
    <w:rsid w:val="00905360"/>
    <w:rsid w:val="00906490"/>
    <w:rsid w:val="009111B2"/>
    <w:rsid w:val="00913170"/>
    <w:rsid w:val="00915444"/>
    <w:rsid w:val="009224E5"/>
    <w:rsid w:val="00924AE1"/>
    <w:rsid w:val="00925F82"/>
    <w:rsid w:val="009269B1"/>
    <w:rsid w:val="0092724D"/>
    <w:rsid w:val="00937BD9"/>
    <w:rsid w:val="00941BD3"/>
    <w:rsid w:val="00950E2C"/>
    <w:rsid w:val="00951D50"/>
    <w:rsid w:val="009525EB"/>
    <w:rsid w:val="0095645E"/>
    <w:rsid w:val="00961400"/>
    <w:rsid w:val="00963646"/>
    <w:rsid w:val="00973843"/>
    <w:rsid w:val="009853E1"/>
    <w:rsid w:val="00986E6B"/>
    <w:rsid w:val="00991769"/>
    <w:rsid w:val="00994386"/>
    <w:rsid w:val="009A13D8"/>
    <w:rsid w:val="009A279E"/>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2FA"/>
    <w:rsid w:val="00AB06E8"/>
    <w:rsid w:val="00AB1CD3"/>
    <w:rsid w:val="00AB352F"/>
    <w:rsid w:val="00AC274B"/>
    <w:rsid w:val="00AC4764"/>
    <w:rsid w:val="00AC5C83"/>
    <w:rsid w:val="00AC6D36"/>
    <w:rsid w:val="00AD0CBA"/>
    <w:rsid w:val="00AD26E2"/>
    <w:rsid w:val="00AD5B68"/>
    <w:rsid w:val="00AD6466"/>
    <w:rsid w:val="00AE126A"/>
    <w:rsid w:val="00AE3005"/>
    <w:rsid w:val="00AE59A0"/>
    <w:rsid w:val="00AF0C57"/>
    <w:rsid w:val="00AF26F3"/>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31E8"/>
    <w:rsid w:val="00B45141"/>
    <w:rsid w:val="00B5273A"/>
    <w:rsid w:val="00B62B50"/>
    <w:rsid w:val="00B635B7"/>
    <w:rsid w:val="00B63AE8"/>
    <w:rsid w:val="00B65950"/>
    <w:rsid w:val="00B659FE"/>
    <w:rsid w:val="00B672C0"/>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031D"/>
    <w:rsid w:val="00BF5F6F"/>
    <w:rsid w:val="00BF7F58"/>
    <w:rsid w:val="00C01381"/>
    <w:rsid w:val="00C079B8"/>
    <w:rsid w:val="00C123EA"/>
    <w:rsid w:val="00C125E4"/>
    <w:rsid w:val="00C12A49"/>
    <w:rsid w:val="00C133EE"/>
    <w:rsid w:val="00C27DE9"/>
    <w:rsid w:val="00C304B4"/>
    <w:rsid w:val="00C33388"/>
    <w:rsid w:val="00C40B45"/>
    <w:rsid w:val="00C4173A"/>
    <w:rsid w:val="00C41C2E"/>
    <w:rsid w:val="00C602FF"/>
    <w:rsid w:val="00C61174"/>
    <w:rsid w:val="00C6148F"/>
    <w:rsid w:val="00C624E3"/>
    <w:rsid w:val="00C62F7A"/>
    <w:rsid w:val="00C63B9C"/>
    <w:rsid w:val="00C6682F"/>
    <w:rsid w:val="00C7275E"/>
    <w:rsid w:val="00C72D27"/>
    <w:rsid w:val="00C74C5D"/>
    <w:rsid w:val="00C863C4"/>
    <w:rsid w:val="00C91665"/>
    <w:rsid w:val="00C93C3E"/>
    <w:rsid w:val="00C94983"/>
    <w:rsid w:val="00CA12E3"/>
    <w:rsid w:val="00CA2943"/>
    <w:rsid w:val="00CA6611"/>
    <w:rsid w:val="00CA6B58"/>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33E72"/>
    <w:rsid w:val="00D34EA5"/>
    <w:rsid w:val="00D35BD6"/>
    <w:rsid w:val="00D361B5"/>
    <w:rsid w:val="00D411A2"/>
    <w:rsid w:val="00D44673"/>
    <w:rsid w:val="00D46971"/>
    <w:rsid w:val="00D50B9C"/>
    <w:rsid w:val="00D51FA7"/>
    <w:rsid w:val="00D52D73"/>
    <w:rsid w:val="00D52E58"/>
    <w:rsid w:val="00D5403A"/>
    <w:rsid w:val="00D714CC"/>
    <w:rsid w:val="00D75769"/>
    <w:rsid w:val="00D75EA7"/>
    <w:rsid w:val="00D81F21"/>
    <w:rsid w:val="00D9522F"/>
    <w:rsid w:val="00D95470"/>
    <w:rsid w:val="00DA2619"/>
    <w:rsid w:val="00DA4239"/>
    <w:rsid w:val="00DB0B61"/>
    <w:rsid w:val="00DB17C1"/>
    <w:rsid w:val="00DC090B"/>
    <w:rsid w:val="00DC2CF1"/>
    <w:rsid w:val="00DC4FCF"/>
    <w:rsid w:val="00DC50E0"/>
    <w:rsid w:val="00DC6386"/>
    <w:rsid w:val="00DD1130"/>
    <w:rsid w:val="00DD1951"/>
    <w:rsid w:val="00DD6628"/>
    <w:rsid w:val="00DE09D5"/>
    <w:rsid w:val="00DE3250"/>
    <w:rsid w:val="00DE6028"/>
    <w:rsid w:val="00DE78A3"/>
    <w:rsid w:val="00DF1A71"/>
    <w:rsid w:val="00DF68C7"/>
    <w:rsid w:val="00DF731A"/>
    <w:rsid w:val="00E03057"/>
    <w:rsid w:val="00E06C7B"/>
    <w:rsid w:val="00E14388"/>
    <w:rsid w:val="00E170DC"/>
    <w:rsid w:val="00E21842"/>
    <w:rsid w:val="00E264CD"/>
    <w:rsid w:val="00E26818"/>
    <w:rsid w:val="00E27FFC"/>
    <w:rsid w:val="00E30B15"/>
    <w:rsid w:val="00E30F56"/>
    <w:rsid w:val="00E36C2D"/>
    <w:rsid w:val="00E40181"/>
    <w:rsid w:val="00E41359"/>
    <w:rsid w:val="00E43426"/>
    <w:rsid w:val="00E45931"/>
    <w:rsid w:val="00E52673"/>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048E6"/>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289E"/>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 w:type="paragraph" w:customStyle="1" w:styleId="EmptyLayoutCell">
    <w:name w:val="EmptyLayoutCell"/>
    <w:basedOn w:val="Normal"/>
    <w:rsid w:val="00D5403A"/>
    <w:pPr>
      <w:widowControl/>
    </w:pPr>
    <w:rPr>
      <w:rFonts w:ascii="Times New Roman" w:eastAsia="Times New Roman" w:hAnsi="Times New Roman"/>
      <w:sz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2.health.vic.gov.au/mental-health/research-and-reporting/mental-health-performance-reports/child-and-adolescent-performance-indicator-reports" TargetMode="External"/><Relationship Id="rId2" Type="http://schemas.openxmlformats.org/officeDocument/2006/relationships/numbering" Target="numbering.xml"/><Relationship Id="rId16" Type="http://schemas.openxmlformats.org/officeDocument/2006/relationships/hyperlink" Target="mailto:vahi@vahi.vic.gov.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FF095-9C96-436D-8F40-FA23945E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2019-29 Q3 CYMHS/CAMHS quarterly KPI report</vt:lpstr>
    </vt:vector>
  </TitlesOfParts>
  <Company>Department of Health and Human Services</Company>
  <LinksUpToDate>false</LinksUpToDate>
  <CharactersWithSpaces>13910</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2019-29 Q3 CYMHS/CAMHS quarterly KPI report</dc:title>
  <dc:subject/>
  <dc:creator>Victorian Agency for Health Information</dc:creator>
  <cp:keywords/>
  <cp:lastModifiedBy>Daniel Mendoza (DHHS)</cp:lastModifiedBy>
  <cp:revision>23</cp:revision>
  <cp:lastPrinted>2020-07-18T00:17:00Z</cp:lastPrinted>
  <dcterms:created xsi:type="dcterms:W3CDTF">2019-10-11T05:06:00Z</dcterms:created>
  <dcterms:modified xsi:type="dcterms:W3CDTF">2020-07-18T00:19:00Z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SIP_Label_43e64453-338c-4f93-8a4d-0039a0a41f2a_Enabled">
    <vt:lpwstr>True</vt:lpwstr>
  </property>
  <property fmtid="{D5CDD505-2E9C-101B-9397-08002B2CF9AE}" pid="4" name="MSIP_Label_43e64453-338c-4f93-8a4d-0039a0a41f2a_SiteId">
    <vt:lpwstr>c0e0601f-0fac-449c-9c88-a104c4eb9f28</vt:lpwstr>
  </property>
  <property fmtid="{D5CDD505-2E9C-101B-9397-08002B2CF9AE}" pid="5" name="MSIP_Label_43e64453-338c-4f93-8a4d-0039a0a41f2a_Owner">
    <vt:lpwstr>Daniel.Mendoza@vahi.vic.gov.au</vt:lpwstr>
  </property>
  <property fmtid="{D5CDD505-2E9C-101B-9397-08002B2CF9AE}" pid="6" name="MSIP_Label_43e64453-338c-4f93-8a4d-0039a0a41f2a_SetDate">
    <vt:lpwstr>2020-04-15T08:18:07.8930229Z</vt:lpwstr>
  </property>
  <property fmtid="{D5CDD505-2E9C-101B-9397-08002B2CF9AE}" pid="7" name="MSIP_Label_43e64453-338c-4f93-8a4d-0039a0a41f2a_Name">
    <vt:lpwstr>OFFICIAL</vt:lpwstr>
  </property>
  <property fmtid="{D5CDD505-2E9C-101B-9397-08002B2CF9AE}" pid="8" name="MSIP_Label_43e64453-338c-4f93-8a4d-0039a0a41f2a_Application">
    <vt:lpwstr>Microsoft Azure Information Protection</vt:lpwstr>
  </property>
  <property fmtid="{D5CDD505-2E9C-101B-9397-08002B2CF9AE}" pid="9" name="MSIP_Label_43e64453-338c-4f93-8a4d-0039a0a41f2a_ActionId">
    <vt:lpwstr>0639a5a1-fd50-4e4d-9799-da9eedfedc0f</vt:lpwstr>
  </property>
  <property fmtid="{D5CDD505-2E9C-101B-9397-08002B2CF9AE}" pid="10" name="MSIP_Label_43e64453-338c-4f93-8a4d-0039a0a41f2a_Extended_MSFT_Method">
    <vt:lpwstr>Manual</vt:lpwstr>
  </property>
  <property fmtid="{D5CDD505-2E9C-101B-9397-08002B2CF9AE}" pid="11" name="Sensitivity">
    <vt:lpwstr>OFFICIAL</vt:lpwstr>
  </property>
</Properties>
</file>