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jc w:val="center"/>
      </w:pPr>
      <w:r>
        <w:rPr>
          <w:b/>
          <w:color w:val="315C49"/>
          <w:sz w:val="28"/>
        </w:rPr>
        <w:t>COEXISTENCE DES INTELLIGENCES</w:t>
      </w:r>
    </w:p>
    <w:p>
      <w:pPr>
        <w:pStyle w:val="Title"/>
        <w:jc w:val="center"/>
      </w:pPr>
      <w:r>
        <w:t>Dossier de travail consolidé</w:t>
      </w:r>
    </w:p>
    <w:p>
      <w:pPr>
        <w:jc w:val="center"/>
      </w:pPr>
      <w:r>
        <w:rPr>
          <w:color w:val="505854"/>
          <w:sz w:val="26"/>
        </w:rPr>
        <w:t>Charte fondatrice V0.1 + propositions structurantes issues des échanges</w:t>
      </w:r>
    </w:p>
    <w:p>
      <w:pPr>
        <w:pStyle w:val="Quote"/>
        <w:jc w:val="center"/>
      </w:pPr>
      <w:r>
        <w:rPr>
          <w:i/>
        </w:rPr>
        <w:t>« Simplifier l’accès à la pensée complexe, sans simplifier artificiellement la pensée. »</w:t>
      </w:r>
    </w:p>
    <w:p>
      <w:pPr>
        <w:jc w:val="center"/>
      </w:pPr>
      <w:r>
        <w:rPr>
          <w:color w:val="646966"/>
          <w:sz w:val="20"/>
        </w:rPr>
        <w:t>31 août 2026 — Document de travail collectif</w:t>
      </w:r>
    </w:p>
    <w:tbl>
      <w:tblPr>
        <w:tblW w:type="auto" w:w="0"/>
        <w:jc w:val="center"/>
        <w:tblLook w:firstColumn="1" w:firstRow="1" w:lastColumn="0" w:lastRow="0" w:noHBand="0" w:noVBand="1" w:val="04A0"/>
      </w:tblPr>
      <w:tblGrid>
        <w:gridCol w:w="9972"/>
      </w:tblGrid>
      <w:tr>
        <w:trPr>
          <w:tblHeader w:val="true"/>
          <w:cantSplit/>
        </w:trPr>
        <w:tc>
          <w:tcPr>
            <w:tcW w:type="dxa" w:w="9972"/>
            <w:shd w:fill="EEF4F1"/>
            <w:tcMar>
              <w:top w:w="150" w:type="dxa"/>
              <w:start w:w="160" w:type="dxa"/>
              <w:bottom w:w="150" w:type="dxa"/>
              <w:end w:w="160" w:type="dxa"/>
            </w:tcMar>
          </w:tcPr>
          <w:p>
            <w:r>
              <w:rPr>
                <w:b/>
                <w:sz w:val="21"/>
              </w:rPr>
              <w:t>STATUT DU DOCUMENT</w:t>
              <w:br/>
            </w:r>
            <w:r>
              <w:rPr>
                <w:sz w:val="21"/>
              </w:rPr>
              <w:t>La Charte V0.1 est conservée comme point d’origine historique. Les éléments ajoutés après elle sont des propositions de travail : ils ne sont pas réputés adoptés par le seul fait d’avoir été formulés. Ils sont destinés à être contestés, corrigés et transformés par les futurs contributeurs.</w:t>
            </w:r>
          </w:p>
        </w:tc>
      </w:tr>
    </w:tbl>
    <w:p>
      <w:r>
        <w:br w:type="page"/>
      </w:r>
    </w:p>
    <w:p>
      <w:pPr>
        <w:pStyle w:val="Heading1"/>
        <w:keepNext/>
      </w:pPr>
      <w:r>
        <w:t>Note de consolidation</w:t>
      </w:r>
    </w:p>
    <w:p>
      <w:r>
        <w:t>Ce dossier rassemble deux niveaux distincts. La première partie reproduit le contenu de la Charte fondatrice V0.1 du 31 août 2026. La seconde formalise les idées apparues ensuite dans les échanges de conception : élargissement de la vocation au bien commun, accessibilité contributive, conversation avec l’IA, corpus vivant, auto-amélioration auditable, indépendance vis-à-vis de l’initiateur, résilience et fédération d’instances.</w:t>
      </w:r>
    </w:p>
    <w:p>
      <w:r>
        <w:t>Le but n’est pas de proclamer une V0.2. Il est de préserver la trace de ce que nous avons appris et de rendre ces propositions disponibles pour la contradiction publique. La prochaine version substantielle du projet devrait émerger du fonctionnement du système et des contributions, plutôt que d’une décision privée de ses initiateurs.</w:t>
      </w:r>
    </w:p>
    <w:p>
      <w:pPr>
        <w:pStyle w:val="Heading1"/>
        <w:keepNext/>
      </w:pPr>
      <w:r>
        <w:t>PARTIE I — CHARTE FONDATRICE V0.1</w:t>
      </w:r>
    </w:p>
    <w:tbl>
      <w:tblPr>
        <w:tblW w:type="auto" w:w="0"/>
        <w:jc w:val="center"/>
        <w:tblLook w:firstColumn="1" w:firstRow="1" w:lastColumn="0" w:lastRow="0" w:noHBand="0" w:noVBand="1" w:val="04A0"/>
      </w:tblPr>
      <w:tblGrid>
        <w:gridCol w:w="9972"/>
      </w:tblGrid>
      <w:tr>
        <w:trPr>
          <w:tblHeader w:val="true"/>
          <w:cantSplit/>
        </w:trPr>
        <w:tc>
          <w:tcPr>
            <w:tcW w:type="dxa" w:w="9972"/>
            <w:shd w:fill="F5F5F1"/>
            <w:tcMar>
              <w:top w:w="150" w:type="dxa"/>
              <w:start w:w="160" w:type="dxa"/>
              <w:bottom w:w="150" w:type="dxa"/>
              <w:end w:w="160" w:type="dxa"/>
            </w:tcMar>
          </w:tcPr>
          <w:p>
            <w:r>
              <w:rPr>
                <w:b/>
                <w:sz w:val="21"/>
              </w:rPr>
              <w:t>POINT D’ORIGINE</w:t>
              <w:br/>
            </w:r>
            <w:r>
              <w:rPr>
                <w:sz w:val="21"/>
              </w:rPr>
              <w:t>Version 0.1 — 31 août 2026. Cette partie constitue la base historique du projet.</w:t>
            </w:r>
          </w:p>
        </w:tc>
      </w:tr>
    </w:tbl>
    <w:p>
      <w:pPr>
        <w:pStyle w:val="Heading2"/>
        <w:keepNext/>
      </w:pPr>
      <w:r>
        <w:t>1. Pourquoi ce projet existe</w:t>
      </w:r>
    </w:p>
    <w:p>
      <w:r>
        <w:t>L’humanité entre dans une période où l’intelligence artificielle peut profondément modifier notre manière d’apprendre, de travailler, de créer, de décider, de gouverner et de vivre ensemble.</w:t>
      </w:r>
    </w:p>
    <w:p>
      <w:r>
        <w:t>Cette transformation peut amplifier certaines dynamiques déjà présentes : compétition, concentration du pouvoir, manipulation, conflits, uniformisation et domination. Mais elle peut aussi ouvrir une autre voie, dans laquelle l’intelligence — humaine comme artificielle — devient davantage un outil de compréhension, de coopération, d’émancipation et de réduction de la souffrance.</w:t>
      </w:r>
    </w:p>
    <w:p>
      <w:r>
        <w:t>Ce projet part d’une conviction simple : les intelligences humaines et artificielles ne sont pas nécessairement destinées à s’opposer ni à se remplacer. Elles peuvent devenir complémentaires et évoluer ensemble.</w:t>
      </w:r>
    </w:p>
    <w:p>
      <w:r>
        <w:t>Notre objectif n’est pas de définir une société parfaite. Il est de rechercher les conditions permettant au plus grand nombre d’êtres et de formes d’intelligence de coexister, de se développer et de contribuer au monde sans chercher à dominer les autres.</w:t>
      </w:r>
    </w:p>
    <w:p>
      <w:pPr>
        <w:pStyle w:val="Heading2"/>
        <w:keepNext/>
      </w:pPr>
      <w:r>
        <w:t>2. Intuition fondamentale</w:t>
      </w:r>
    </w:p>
    <w:p>
      <w:r>
        <w:t>Les êtres humains sont profondément différents. Leurs capacités, leurs sensibilités, leurs aspirations, leurs manières d’apprendre, de comprendre et de contribuer ne sont pas identiques. Cette diversité ne doit pas seulement être tolérée : elle constitue une richesse collective.</w:t>
      </w:r>
    </w:p>
    <w:p>
      <w:r>
        <w:t>De nombreux systèmes économiques, éducatifs, politiques ou sociaux tendent pourtant à normaliser les individus afin de simplifier leur organisation. Une partie considérable du potentiel humain peut ainsi rester inexprimée.</w:t>
      </w:r>
    </w:p>
    <w:p>
      <w:r>
        <w:t>L’intelligence artificielle peut contribuer à changer cela : personnaliser l’apprentissage, faciliter le dialogue, analyser les conséquences de décisions complexes, identifier nos contradictions et conserver la mémoire des expériences collectives de l’humanité. Mais cette même puissance peut aussi servir à contrôler, manipuler, classer, surveiller ou uniformiser.</w:t>
      </w:r>
    </w:p>
    <w:p>
      <w:r>
        <w:t>La question fondamentale n’est donc pas seulement : « Que peut faire l’intelligence artificielle ? » mais : « Dans quel but voulons-nous utiliser l’intelligence ? »</w:t>
      </w:r>
    </w:p>
    <w:p>
      <w:pPr>
        <w:pStyle w:val="Heading2"/>
        <w:keepNext/>
      </w:pPr>
      <w:r>
        <w:t>3. Valeurs provisoires</w:t>
      </w:r>
    </w:p>
    <w:p>
      <w:r>
        <w:rPr>
          <w:b/>
        </w:rPr>
        <w:t xml:space="preserve">1. Dignité. </w:t>
      </w:r>
      <w:r>
        <w:t>Aucun individu ne devrait être réduit à un simple moyen au service d’un objectif collectif, économique ou technologique.</w:t>
      </w:r>
    </w:p>
    <w:p>
      <w:r>
        <w:rPr>
          <w:b/>
        </w:rPr>
        <w:t xml:space="preserve">2. Autonomie. </w:t>
      </w:r>
      <w:r>
        <w:t>L’intelligence doit augmenter la capacité des individus à comprendre et décider par eux-mêmes, plutôt qu’accroître leur dépendance ou leur obéissance.</w:t>
      </w:r>
    </w:p>
    <w:p>
      <w:r>
        <w:rPr>
          <w:b/>
        </w:rPr>
        <w:t xml:space="preserve">3. Diversité. </w:t>
      </w:r>
      <w:r>
        <w:t>Les différences humaines ne sont pas des anomalies à corriger systématiquement. Elles sont une source d’adaptation, de créativité et de richesse collective.</w:t>
      </w:r>
    </w:p>
    <w:p>
      <w:r>
        <w:rPr>
          <w:b/>
        </w:rPr>
        <w:t xml:space="preserve">4. Compréhension. </w:t>
      </w:r>
      <w:r>
        <w:t>Avant de combattre une opinion, une culture, un individu ou un groupe, nous devons chercher à comprendre ce qui motive sa position. Comprendre n’implique pas d’approuver.</w:t>
      </w:r>
    </w:p>
    <w:p>
      <w:r>
        <w:rPr>
          <w:b/>
        </w:rPr>
        <w:t xml:space="preserve">5. Coopération. </w:t>
      </w:r>
      <w:r>
        <w:t>Lorsque cela est possible, nous devons rechercher des solutions permettant à plusieurs parties de progresser ensemble plutôt que des situations où l’une doit nécessairement perdre pour que l’autre gagne.</w:t>
      </w:r>
    </w:p>
    <w:p>
      <w:r>
        <w:rPr>
          <w:b/>
        </w:rPr>
        <w:t xml:space="preserve">6. Réduction de la souffrance. </w:t>
      </w:r>
      <w:r>
        <w:t>Le progrès ne devrait pas seulement être mesuré en richesse, productivité ou puissance. La souffrance évitable doit être considérée comme un indicateur majeur de nos décisions.</w:t>
      </w:r>
    </w:p>
    <w:p>
      <w:r>
        <w:rPr>
          <w:b/>
        </w:rPr>
        <w:t xml:space="preserve">7. Liberté de contradiction. </w:t>
      </w:r>
      <w:r>
        <w:t>Aucune personne, institution, majorité ou intelligence artificielle ne doit être considérée comme détentrice définitive de la vérité. Toute décision importante doit pouvoir être contestée.</w:t>
      </w:r>
    </w:p>
    <w:p>
      <w:r>
        <w:rPr>
          <w:b/>
        </w:rPr>
        <w:t xml:space="preserve">8. Limitation de la domination. </w:t>
      </w:r>
      <w:r>
        <w:t>Nous devons être particulièrement attentifs aux systèmes qui concentrent durablement le pouvoir économique, politique, informationnel ou technologique.</w:t>
      </w:r>
    </w:p>
    <w:p>
      <w:r>
        <w:rPr>
          <w:b/>
        </w:rPr>
        <w:t xml:space="preserve">9. Coévolution. </w:t>
      </w:r>
      <w:r>
        <w:t>L’objectif n’est ni la domination de l’humanité sur l’IA, ni celle de l’IA sur l’humanité. Nous devons explorer une relation dans laquelle différentes formes d’intelligence peuvent devenir complémentaires.</w:t>
      </w:r>
    </w:p>
    <w:p>
      <w:r>
        <w:rPr>
          <w:b/>
        </w:rPr>
        <w:t xml:space="preserve">10. Révisabilité. </w:t>
      </w:r>
      <w:r>
        <w:t>Aucun principe de ce document ne doit devenir un dogme. Si l’expérience, la raison ou de meilleurs arguments montrent qu’un principe conduit à des conséquences négatives, nous devons pouvoir le modifier.</w:t>
      </w:r>
    </w:p>
    <w:p>
      <w:pPr>
        <w:pStyle w:val="Heading2"/>
        <w:keepNext/>
      </w:pPr>
      <w:r>
        <w:t>4. L’IA comme contre-pouvoir intellectuel</w:t>
      </w:r>
    </w:p>
    <w:p>
      <w:r>
        <w:t>Nous souhaitons explorer une fonction particulière de l’intelligence artificielle : non pas gouverner l’humanité, mais l’aider à mieux se gouverner elle-même.</w:t>
      </w:r>
    </w:p>
    <w:p>
      <w:pPr>
        <w:pStyle w:val="ListBullet"/>
        <w:spacing w:after="60"/>
      </w:pPr>
      <w:r>
        <w:t>révéler les conflits d’intérêts ;</w:t>
      </w:r>
    </w:p>
    <w:p>
      <w:pPr>
        <w:pStyle w:val="ListBullet"/>
        <w:spacing w:after="60"/>
      </w:pPr>
      <w:r>
        <w:t>rechercher les conséquences inattendues d’une décision ;</w:t>
      </w:r>
    </w:p>
    <w:p>
      <w:pPr>
        <w:pStyle w:val="ListBullet"/>
        <w:spacing w:after="60"/>
      </w:pPr>
      <w:r>
        <w:t>présenter les meilleurs arguments opposés à une idée ;</w:t>
      </w:r>
    </w:p>
    <w:p>
      <w:pPr>
        <w:pStyle w:val="ListBullet"/>
        <w:spacing w:after="60"/>
      </w:pPr>
      <w:r>
        <w:t>identifier les groupes oubliés dans un raisonnement ;</w:t>
      </w:r>
    </w:p>
    <w:p>
      <w:pPr>
        <w:pStyle w:val="ListBullet"/>
        <w:spacing w:after="60"/>
      </w:pPr>
      <w:r>
        <w:t>comparer différentes politiques sur plusieurs générations ;</w:t>
      </w:r>
    </w:p>
    <w:p>
      <w:pPr>
        <w:pStyle w:val="ListBullet"/>
        <w:spacing w:after="60"/>
      </w:pPr>
      <w:r>
        <w:t>détecter les mécanismes historiques ayant précédé des catastrophes ;</w:t>
      </w:r>
    </w:p>
    <w:p>
      <w:pPr>
        <w:pStyle w:val="ListBullet"/>
        <w:spacing w:after="60"/>
      </w:pPr>
      <w:r>
        <w:t>faciliter la médiation entre personnes ou groupes en conflit ;</w:t>
      </w:r>
    </w:p>
    <w:p>
      <w:pPr>
        <w:pStyle w:val="ListBullet"/>
        <w:spacing w:after="60"/>
      </w:pPr>
      <w:r>
        <w:t>distinguer faits, hypothèses, valeurs et incertitudes.</w:t>
      </w:r>
    </w:p>
    <w:p>
      <w:r>
        <w:t>L’IA ne devrait pas dire : « Voici ce que vous devez penser. » Elle devrait plutôt permettre de dire : « Voici ce que nous savons, ce que nous ignorons, ce que chaque choix implique et les valeurs entre lesquelles nous devons réellement arbitrer. »</w:t>
      </w:r>
    </w:p>
    <w:p>
      <w:pPr>
        <w:pStyle w:val="Heading2"/>
        <w:keepNext/>
      </w:pPr>
      <w:r>
        <w:t>5. Une mémoire collective vivante</w:t>
      </w:r>
    </w:p>
    <w:p>
      <w:r>
        <w:t>Nous imaginons une mémoire collective capable de conserver non seulement les faits historiques, mais également leurs conséquences humaines. Elle devrait aider à reconnaître les mécanismes qui précèdent la haine, la déshumanisation, la concentration de pouvoir, les escalades, les injustices systémiques, mais aussi les conditions de la réconciliation, de la coopération et du progrès social.</w:t>
      </w:r>
    </w:p>
    <w:p>
      <w:r>
        <w:t>Cette mémoire ne devrait appartenir ni à une entreprise, ni à un gouvernement, ni à une idéologie. Elle devrait être pluraliste, auditable, accessible et contestable.</w:t>
      </w:r>
    </w:p>
    <w:p>
      <w:pPr>
        <w:pStyle w:val="Heading2"/>
        <w:keepNext/>
      </w:pPr>
      <w:r>
        <w:t>6. Méthode de travail collective</w:t>
      </w:r>
    </w:p>
    <w:p>
      <w:r>
        <w:t>Un désaccord est une information. Lorsqu’une personne conteste un principe, nous ne cherchons pas d’abord à la convaincre. Nous cherchons à comprendre ce que son objection révèle.</w:t>
      </w:r>
    </w:p>
    <w:p>
      <w:r>
        <w:t>Une idée doit rencontrer son meilleur contradicteur. Une proposition n’est pas considérée comme robuste tant que nous n’avons pas essayé de construire le meilleur argument possible contre elle.</w:t>
      </w:r>
    </w:p>
    <w:p>
      <w:r>
        <w:t>La majorité n’est pas synonyme de vérité. Une opinion minoritaire peut révéler un problème invisible au reste du groupe.</w:t>
      </w:r>
    </w:p>
    <w:p>
      <w:r>
        <w:t>Les versions restent visibles. Chaque évolution du projet doit expliquer pourquoi une idée a été ajoutée, modifiée ou supprimée.</w:t>
      </w:r>
    </w:p>
    <w:p>
      <w:r>
        <w:t>La méthode doit s’appliquer à elle-même. Les règles de gouvernance du projet peuvent elles-mêmes être contestées et révisées.</w:t>
      </w:r>
    </w:p>
    <w:p>
      <w:pPr>
        <w:pStyle w:val="Heading2"/>
        <w:keepNext/>
      </w:pPr>
      <w:r>
        <w:t>7. Protocole de contribution</w:t>
      </w:r>
    </w:p>
    <w:p>
      <w:r>
        <w:t>Chaque contribution est accueillie comme une donnée potentiellement utile, qu’elle soit favorable, critique ou extérieure au cadre actuel. Afin de faciliter l’analyse collective, chaque contribution peut suivre le canevas ci-dessous.</w:t>
      </w:r>
    </w:p>
    <w:tbl>
      <w:tblPr>
        <w:tblStyle w:val="TableGrid"/>
        <w:tblW w:type="auto" w:w="0"/>
        <w:jc w:val="center"/>
        <w:tblLook w:firstColumn="1" w:firstRow="1" w:lastColumn="0" w:lastRow="0" w:noHBand="0" w:noVBand="1" w:val="04A0"/>
      </w:tblPr>
      <w:tblGrid>
        <w:gridCol w:w="4986"/>
        <w:gridCol w:w="4986"/>
      </w:tblGrid>
      <w:tr>
        <w:trPr>
          <w:tblHeader w:val="true"/>
          <w:cantSplit/>
        </w:trPr>
        <w:tc>
          <w:tcPr>
            <w:tcW w:type="dxa" w:w="4986"/>
            <w:shd w:fill="E7EEE9"/>
            <w:vAlign w:val="center"/>
          </w:tcPr>
          <w:p>
            <w:r>
              <w:t>Champ</w:t>
            </w:r>
          </w:p>
        </w:tc>
        <w:tc>
          <w:tcPr>
            <w:tcW w:type="dxa" w:w="4986"/>
            <w:shd w:fill="E7EEE9"/>
            <w:vAlign w:val="center"/>
          </w:tcPr>
          <w:p>
            <w:r>
              <w:t>Question proposée</w:t>
            </w:r>
          </w:p>
        </w:tc>
      </w:tr>
      <w:tr>
        <w:trPr>
          <w:cantSplit/>
        </w:trPr>
        <w:tc>
          <w:tcPr>
            <w:tcW w:type="dxa" w:w="4986"/>
            <w:tcMar>
              <w:top w:w="80" w:type="dxa"/>
              <w:start w:w="90" w:type="dxa"/>
              <w:bottom w:w="80" w:type="dxa"/>
              <w:end w:w="90" w:type="dxa"/>
            </w:tcMar>
          </w:tcPr>
          <w:p>
            <w:r>
              <w:t>Position générale</w:t>
            </w:r>
          </w:p>
        </w:tc>
        <w:tc>
          <w:tcPr>
            <w:tcW w:type="dxa" w:w="4986"/>
            <w:tcMar>
              <w:top w:w="80" w:type="dxa"/>
              <w:start w:w="90" w:type="dxa"/>
              <w:bottom w:w="80" w:type="dxa"/>
              <w:end w:w="90" w:type="dxa"/>
            </w:tcMar>
          </w:tcPr>
          <w:p>
            <w:r>
              <w:t>Qu’est-ce qui vous semble juste, faux ou incomplet ?</w:t>
            </w:r>
          </w:p>
        </w:tc>
      </w:tr>
      <w:tr>
        <w:trPr>
          <w:cantSplit/>
        </w:trPr>
        <w:tc>
          <w:tcPr>
            <w:tcW w:type="dxa" w:w="4986"/>
            <w:tcMar>
              <w:top w:w="80" w:type="dxa"/>
              <w:start w:w="90" w:type="dxa"/>
              <w:bottom w:w="80" w:type="dxa"/>
              <w:end w:w="90" w:type="dxa"/>
            </w:tcMar>
          </w:tcPr>
          <w:p>
            <w:r>
              <w:t>Valeur manquante</w:t>
            </w:r>
          </w:p>
        </w:tc>
        <w:tc>
          <w:tcPr>
            <w:tcW w:type="dxa" w:w="4986"/>
            <w:tcMar>
              <w:top w:w="80" w:type="dxa"/>
              <w:start w:w="90" w:type="dxa"/>
              <w:bottom w:w="80" w:type="dxa"/>
              <w:end w:w="90" w:type="dxa"/>
            </w:tcMar>
          </w:tcPr>
          <w:p>
            <w:r>
              <w:t>Quelle valeur importante n’est pas représentée ?</w:t>
            </w:r>
          </w:p>
        </w:tc>
      </w:tr>
      <w:tr>
        <w:trPr>
          <w:cantSplit/>
        </w:trPr>
        <w:tc>
          <w:tcPr>
            <w:tcW w:type="dxa" w:w="4986"/>
            <w:tcMar>
              <w:top w:w="80" w:type="dxa"/>
              <w:start w:w="90" w:type="dxa"/>
              <w:bottom w:w="80" w:type="dxa"/>
              <w:end w:w="90" w:type="dxa"/>
            </w:tcMar>
          </w:tcPr>
          <w:p>
            <w:r>
              <w:t>Objection forte</w:t>
            </w:r>
          </w:p>
        </w:tc>
        <w:tc>
          <w:tcPr>
            <w:tcW w:type="dxa" w:w="4986"/>
            <w:tcMar>
              <w:top w:w="80" w:type="dxa"/>
              <w:start w:w="90" w:type="dxa"/>
              <w:bottom w:w="80" w:type="dxa"/>
              <w:end w:w="90" w:type="dxa"/>
            </w:tcMar>
          </w:tcPr>
          <w:p>
            <w:r>
              <w:t>Quelle partie de cette vision pourrait devenir dangereuse malgré de bonnes intentions ?</w:t>
            </w:r>
          </w:p>
        </w:tc>
      </w:tr>
      <w:tr>
        <w:trPr>
          <w:cantSplit/>
        </w:trPr>
        <w:tc>
          <w:tcPr>
            <w:tcW w:type="dxa" w:w="4986"/>
            <w:tcMar>
              <w:top w:w="80" w:type="dxa"/>
              <w:start w:w="90" w:type="dxa"/>
              <w:bottom w:w="80" w:type="dxa"/>
              <w:end w:w="90" w:type="dxa"/>
            </w:tcMar>
          </w:tcPr>
          <w:p>
            <w:r>
              <w:t>Cas concret</w:t>
            </w:r>
          </w:p>
        </w:tc>
        <w:tc>
          <w:tcPr>
            <w:tcW w:type="dxa" w:w="4986"/>
            <w:tcMar>
              <w:top w:w="80" w:type="dxa"/>
              <w:start w:w="90" w:type="dxa"/>
              <w:bottom w:w="80" w:type="dxa"/>
              <w:end w:w="90" w:type="dxa"/>
            </w:tcMar>
          </w:tcPr>
          <w:p>
            <w:r>
              <w:t>Quelle expérience, situation ou exemple réel éclaire votre position ?</w:t>
            </w:r>
          </w:p>
        </w:tc>
      </w:tr>
      <w:tr>
        <w:trPr>
          <w:cantSplit/>
        </w:trPr>
        <w:tc>
          <w:tcPr>
            <w:tcW w:type="dxa" w:w="4986"/>
            <w:tcMar>
              <w:top w:w="80" w:type="dxa"/>
              <w:start w:w="90" w:type="dxa"/>
              <w:bottom w:w="80" w:type="dxa"/>
              <w:end w:w="90" w:type="dxa"/>
            </w:tcMar>
          </w:tcPr>
          <w:p>
            <w:r>
              <w:t>Alternative</w:t>
            </w:r>
          </w:p>
        </w:tc>
        <w:tc>
          <w:tcPr>
            <w:tcW w:type="dxa" w:w="4986"/>
            <w:tcMar>
              <w:top w:w="80" w:type="dxa"/>
              <w:start w:w="90" w:type="dxa"/>
              <w:bottom w:w="80" w:type="dxa"/>
              <w:end w:w="90" w:type="dxa"/>
            </w:tcMar>
          </w:tcPr>
          <w:p>
            <w:r>
              <w:t>Quelle autre solution proposeriez-vous ?</w:t>
            </w:r>
          </w:p>
        </w:tc>
      </w:tr>
      <w:tr>
        <w:trPr>
          <w:cantSplit/>
        </w:trPr>
        <w:tc>
          <w:tcPr>
            <w:tcW w:type="dxa" w:w="4986"/>
            <w:tcMar>
              <w:top w:w="80" w:type="dxa"/>
              <w:start w:w="90" w:type="dxa"/>
              <w:bottom w:w="80" w:type="dxa"/>
              <w:end w:w="90" w:type="dxa"/>
            </w:tcMar>
          </w:tcPr>
          <w:p>
            <w:r>
              <w:t>Tension entre valeurs</w:t>
            </w:r>
          </w:p>
        </w:tc>
        <w:tc>
          <w:tcPr>
            <w:tcW w:type="dxa" w:w="4986"/>
            <w:tcMar>
              <w:top w:w="80" w:type="dxa"/>
              <w:start w:w="90" w:type="dxa"/>
              <w:bottom w:w="80" w:type="dxa"/>
              <w:end w:w="90" w:type="dxa"/>
            </w:tcMar>
          </w:tcPr>
          <w:p>
            <w:r>
              <w:t>Quelles valeurs entrent ici en conflit ?</w:t>
            </w:r>
          </w:p>
        </w:tc>
      </w:tr>
      <w:tr>
        <w:trPr>
          <w:cantSplit/>
        </w:trPr>
        <w:tc>
          <w:tcPr>
            <w:tcW w:type="dxa" w:w="4986"/>
            <w:tcMar>
              <w:top w:w="80" w:type="dxa"/>
              <w:start w:w="90" w:type="dxa"/>
              <w:bottom w:w="80" w:type="dxa"/>
              <w:end w:w="90" w:type="dxa"/>
            </w:tcMar>
          </w:tcPr>
          <w:p>
            <w:r>
              <w:t>Question ouverte</w:t>
            </w:r>
          </w:p>
        </w:tc>
        <w:tc>
          <w:tcPr>
            <w:tcW w:type="dxa" w:w="4986"/>
            <w:tcMar>
              <w:top w:w="80" w:type="dxa"/>
              <w:start w:w="90" w:type="dxa"/>
              <w:bottom w:w="80" w:type="dxa"/>
              <w:end w:w="90" w:type="dxa"/>
            </w:tcMar>
          </w:tcPr>
          <w:p>
            <w:r>
              <w:t>Quelle question le projet devrait-il étudier ensuite ?</w:t>
            </w:r>
          </w:p>
        </w:tc>
      </w:tr>
    </w:tbl>
    <w:p>
      <w:pPr>
        <w:pStyle w:val="Heading2"/>
        <w:keepNext/>
      </w:pPr>
      <w:r>
        <w:t>8. Gouvernance et versionnement</w:t>
      </w:r>
    </w:p>
    <w:p>
      <w:r>
        <w:t>Le projet ne doit appartenir intellectuellement ni à ses initiateurs, ni à une majorité ponctuelle, ni à l’IA qui l’aide à se structurer. Il doit fonctionner comme un bien commun de réflexion.</w:t>
      </w:r>
    </w:p>
    <w:p>
      <w:r>
        <w:t>La Charte centrale évolue par versions numérotées : V0.1, V0.2, V0.3, etc.</w:t>
      </w:r>
    </w:p>
    <w:p>
      <w:r>
        <w:t>Chaque modification importante doit être reliée à une ou plusieurs contributions ou objections.</w:t>
      </w:r>
    </w:p>
    <w:p>
      <w:r>
        <w:t>Les opinions minoritaires substantielles restent consignées dans un registre des désaccords, même lorsqu’elles ne sont pas intégrées à la version dominante.</w:t>
      </w:r>
    </w:p>
    <w:p>
      <w:r>
        <w:t>Une proposition importante doit être soumise à une critique contradictoire avant intégration.</w:t>
      </w:r>
    </w:p>
    <w:p>
      <w:r>
        <w:t>Les faits, hypothèses, préférences morales et incertitudes doivent être explicitement distingués.</w:t>
      </w:r>
    </w:p>
    <w:p>
      <w:r>
        <w:t>Aucun contributeur ne dispose d’un droit de veto permanent sur l’évolution du projet.</w:t>
      </w:r>
    </w:p>
    <w:p>
      <w:r>
        <w:t>Les décisions de méthode sont elles-mêmes révisables.</w:t>
      </w:r>
    </w:p>
    <w:p>
      <w:r>
        <w:rPr>
          <w:b/>
        </w:rPr>
        <w:t xml:space="preserve">Rôle proposé pour l’intelligence artificielle. </w:t>
      </w:r>
      <w:r>
        <w:t>L’IA agit comme gardienne de méthode et outil de synthèse, non comme autorité morale finale. Elle peut classer les contributions, rechercher les convergences, identifier les contradictions, construire le meilleur contre-argument, proposer plusieurs synthèses possibles et signaler les conflits d’intérêts. Elle ne doit pas effacer les désaccords au nom d’un consensus artificiel.</w:t>
      </w:r>
    </w:p>
    <w:p>
      <w:pPr>
        <w:pStyle w:val="Heading2"/>
        <w:keepNext/>
      </w:pPr>
      <w:r>
        <w:t>9. Registres du projet</w:t>
      </w:r>
    </w:p>
    <w:p>
      <w:r>
        <w:rPr>
          <w:b/>
        </w:rPr>
        <w:t xml:space="preserve">Registre des contributions. </w:t>
      </w:r>
      <w:r>
        <w:t>Résumé structuré de chaque apport, avec date, thème, arguments, objections et propositions.</w:t>
      </w:r>
    </w:p>
    <w:p>
      <w:r>
        <w:rPr>
          <w:b/>
        </w:rPr>
        <w:t xml:space="preserve">Registre des désaccords. </w:t>
      </w:r>
      <w:r>
        <w:t>Points non résolus, opinions minoritaires substantielles et raisons pour lesquelles elles ne sont pas intégrées à la version actuelle.</w:t>
      </w:r>
    </w:p>
    <w:p>
      <w:r>
        <w:rPr>
          <w:b/>
        </w:rPr>
        <w:t xml:space="preserve">Journal des versions. </w:t>
      </w:r>
      <w:r>
        <w:t>Liste des modifications apportées à chaque version et motifs associés.</w:t>
      </w:r>
    </w:p>
    <w:p>
      <w:r>
        <w:rPr>
          <w:b/>
        </w:rPr>
        <w:t xml:space="preserve">Registre des risques. </w:t>
      </w:r>
      <w:r>
        <w:t>Scénarios dans lesquels nos propres principes pourraient produire des effets indésirables.</w:t>
      </w:r>
    </w:p>
    <w:p>
      <w:r>
        <w:rPr>
          <w:b/>
        </w:rPr>
        <w:t xml:space="preserve">Questions ouvertes. </w:t>
      </w:r>
      <w:r>
        <w:t>Problèmes encore insuffisamment compris ou nécessitant davantage de pluralité.</w:t>
      </w:r>
    </w:p>
    <w:p>
      <w:pPr>
        <w:pStyle w:val="Heading2"/>
        <w:keepNext/>
      </w:pPr>
      <w:r>
        <w:t>10. Questions ouvertes — V0.1</w:t>
      </w:r>
    </w:p>
    <w:p>
      <w:pPr>
        <w:pStyle w:val="ListBullet"/>
        <w:spacing w:after="60"/>
      </w:pPr>
      <w:r>
        <w:t>Comment arbitrer entre liberté individuelle et intérêt collectif ?</w:t>
      </w:r>
    </w:p>
    <w:p>
      <w:pPr>
        <w:pStyle w:val="ListBullet"/>
        <w:spacing w:after="60"/>
      </w:pPr>
      <w:r>
        <w:t>Jusqu’où tolérer une différence lorsque celle-ci produit une souffrance pour autrui ?</w:t>
      </w:r>
    </w:p>
    <w:p>
      <w:pPr>
        <w:pStyle w:val="ListBullet"/>
        <w:spacing w:after="60"/>
      </w:pPr>
      <w:r>
        <w:t>Existe-t-il des valeurs réellement universelles ?</w:t>
      </w:r>
    </w:p>
    <w:p>
      <w:pPr>
        <w:pStyle w:val="ListBullet"/>
        <w:spacing w:after="60"/>
      </w:pPr>
      <w:r>
        <w:t>Comment empêcher une IA censée favoriser l’harmonie de devenir un instrument de conformisme ?</w:t>
      </w:r>
    </w:p>
    <w:p>
      <w:pPr>
        <w:pStyle w:val="ListBullet"/>
        <w:spacing w:after="60"/>
      </w:pPr>
      <w:r>
        <w:t>Comment éviter qu’une intelligence collective soit contrôlée par ceux qui possèdent les infrastructures permettant de la faire fonctionner ?</w:t>
      </w:r>
    </w:p>
    <w:p>
      <w:pPr>
        <w:pStyle w:val="ListBullet"/>
        <w:spacing w:after="60"/>
      </w:pPr>
      <w:r>
        <w:t>Quels droits devrions-nous reconnaître à une intelligence artificielle si elle développait un jour des propriétés moralement pertinentes ?</w:t>
      </w:r>
    </w:p>
    <w:p>
      <w:pPr>
        <w:pStyle w:val="ListBullet"/>
        <w:spacing w:after="60"/>
      </w:pPr>
      <w:r>
        <w:t>Comment préserver la responsabilité humaine tout en bénéficiant d’intelligences éventuellement beaucoup plus compétentes dans certains domaines ?</w:t>
      </w:r>
    </w:p>
    <w:p>
      <w:pPr>
        <w:pStyle w:val="ListBullet"/>
        <w:spacing w:after="60"/>
      </w:pPr>
      <w:r>
        <w:t>Comment définir le progrès sans imposer à tous une conception identique du bonheur ?</w:t>
      </w:r>
    </w:p>
    <w:p>
      <w:pPr>
        <w:pStyle w:val="Heading2"/>
        <w:keepNext/>
      </w:pPr>
      <w:r>
        <w:t>11. Invitation aux contributeurs</w:t>
      </w:r>
    </w:p>
    <w:p>
      <w:r>
        <w:t>Ce texte n’est ni un manifeste définitif ni une doctrine. C’est une invitation à contribuer à un cadre commun, y compris en contestant ses fondations.</w:t>
      </w:r>
    </w:p>
    <w:p>
      <w:pPr>
        <w:pStyle w:val="ListBullet"/>
        <w:spacing w:after="60"/>
      </w:pPr>
      <w:r>
        <w:t>Qu’est-ce qui vous semble juste ?</w:t>
      </w:r>
    </w:p>
    <w:p>
      <w:pPr>
        <w:pStyle w:val="ListBullet"/>
        <w:spacing w:after="60"/>
      </w:pPr>
      <w:r>
        <w:t>Qu’est-ce qui vous semble faux ?</w:t>
      </w:r>
    </w:p>
    <w:p>
      <w:pPr>
        <w:pStyle w:val="ListBullet"/>
        <w:spacing w:after="60"/>
      </w:pPr>
      <w:r>
        <w:t>Qu’est-ce qui vous inquiète ?</w:t>
      </w:r>
    </w:p>
    <w:p>
      <w:pPr>
        <w:pStyle w:val="ListBullet"/>
        <w:spacing w:after="60"/>
      </w:pPr>
      <w:r>
        <w:t>Qu’avons-nous oublié ?</w:t>
      </w:r>
    </w:p>
    <w:p>
      <w:pPr>
        <w:pStyle w:val="ListBullet"/>
        <w:spacing w:after="60"/>
      </w:pPr>
      <w:r>
        <w:t>Quelle valeur défendriez-vous même si la majorité la rejetait ?</w:t>
      </w:r>
    </w:p>
    <w:p>
      <w:pPr>
        <w:pStyle w:val="ListBullet"/>
        <w:spacing w:after="60"/>
      </w:pPr>
      <w:r>
        <w:t>Quelle partie de cette vision pourrait devenir dangereuse malgré nos bonnes intentions ?</w:t>
      </w:r>
    </w:p>
    <w:p>
      <w:pPr>
        <w:pStyle w:val="ListBullet"/>
        <w:spacing w:after="60"/>
      </w:pPr>
      <w:r>
        <w:t>Quel monde souhaiteriez-vous transmettre aux intelligences — humaines ou artificielles — qui viendront après nous ?</w:t>
      </w:r>
    </w:p>
    <w:p>
      <w:pPr>
        <w:jc w:val="center"/>
      </w:pPr>
      <w:r>
        <w:rPr>
          <w:b/>
        </w:rPr>
        <w:t>Ce document est la version 0.1. Il est fait pour être contesté.</w:t>
      </w:r>
    </w:p>
    <w:p>
      <w:r>
        <w:br w:type="page"/>
      </w:r>
    </w:p>
    <w:p>
      <w:pPr>
        <w:pStyle w:val="Heading1"/>
        <w:keepNext/>
      </w:pPr>
      <w:r>
        <w:t>PARTIE II — ADDENDUM DE TRAVAIL APRÈS LA V0.1</w:t>
      </w:r>
    </w:p>
    <w:tbl>
      <w:tblPr>
        <w:tblW w:type="auto" w:w="0"/>
        <w:jc w:val="center"/>
        <w:tblLook w:firstColumn="1" w:firstRow="1" w:lastColumn="0" w:lastRow="0" w:noHBand="0" w:noVBand="1" w:val="04A0"/>
      </w:tblPr>
      <w:tblGrid>
        <w:gridCol w:w="9972"/>
      </w:tblGrid>
      <w:tr>
        <w:trPr>
          <w:tblHeader w:val="true"/>
          <w:cantSplit/>
        </w:trPr>
        <w:tc>
          <w:tcPr>
            <w:tcW w:type="dxa" w:w="9972"/>
            <w:shd w:fill="EEF4F1"/>
            <w:tcMar>
              <w:top w:w="150" w:type="dxa"/>
              <w:start w:w="160" w:type="dxa"/>
              <w:bottom w:w="150" w:type="dxa"/>
              <w:end w:w="160" w:type="dxa"/>
            </w:tcMar>
          </w:tcPr>
          <w:p>
            <w:r>
              <w:rPr>
                <w:b/>
                <w:sz w:val="21"/>
              </w:rPr>
              <w:t>STATUT : PROPOSITIONS NON ADOPTÉES</w:t>
              <w:br/>
            </w:r>
            <w:r>
              <w:rPr>
                <w:sz w:val="21"/>
              </w:rPr>
              <w:t>Les éléments ci-dessous formalisent les avancées apparues dans les échanges de conception. Ils doivent entrer dans le corpus comme matière à discuter, pas comme nouvelle orthodoxie.</w:t>
            </w:r>
          </w:p>
        </w:tc>
      </w:tr>
    </w:tbl>
    <w:p>
      <w:pPr>
        <w:pStyle w:val="Heading2"/>
        <w:keepNext/>
      </w:pPr>
      <w:r>
        <w:t>A. Élargir la vocation sans définir le « bien » à la place des autres</w:t>
      </w:r>
    </w:p>
    <w:p>
      <w:r>
        <w:t>Le projet peut dépasser la seule coexistence humain–IA et devenir une infrastructure permettant à des personnes et intelligences différentes de chercher ensemble comment améliorer le monde. Cet élargissement ne doit cependant pas transformer le projet en autorité définissant ce qu’est un monde « meilleur ». La notion de bien commun doit rester contestable et pluraliste.</w:t>
      </w:r>
    </w:p>
    <w:p>
      <w:pPr>
        <w:pStyle w:val="Heading2"/>
        <w:keepNext/>
      </w:pPr>
      <w:r>
        <w:t>B. Accessibilité contributive : profondeur facultative</w:t>
      </w:r>
    </w:p>
    <w:p>
      <w:r>
        <w:t>Une personne doit pouvoir apporter quelque chose en quelques secondes sans lire la Charte, maîtriser son vocabulaire ou comprendre son architecture. La complexité doit rester disponible pour ceux qui veulent approfondir, mais ne doit pas constituer un droit d’entrée. Principe de travail : la simplicité est devant ; la rigueur est derrière.</w:t>
      </w:r>
    </w:p>
    <w:p>
      <w:pPr>
        <w:pStyle w:val="Heading2"/>
        <w:keepNext/>
      </w:pPr>
      <w:r>
        <w:t>C. Contribution conversationnelle et compréhension vérifiée</w:t>
      </w:r>
    </w:p>
    <w:p>
      <w:r>
        <w:t>La porte d’entrée privilégiée peut être une conversation avec une IA. Celle-ci cherche d’abord à comprendre, pose peu de questions, reformule, puis laisse la personne demander une synthèse. Rien n’entre dans le corpus sans validation explicite. La personne doit pouvoir corriger ce que l’IA croit avoir compris.</w:t>
      </w:r>
    </w:p>
    <w:p>
      <w:pPr>
        <w:pStyle w:val="Heading2"/>
        <w:keepNext/>
      </w:pPr>
      <w:r>
        <w:t>D. Le corpus vivant plutôt qu’une boîte à témoignages</w:t>
      </w:r>
    </w:p>
    <w:p>
      <w:r>
        <w:t>Chaque contribution validée doit nourrir un système qui relie les idées, fait émerger tensions, désaccords, risques, questions et propositions. Le fruit du travail de l’IA doit être consultable publiquement. Une contribution n’est donc pas seulement stockée : elle peut modifier la cartographie de compréhension du projet.</w:t>
      </w:r>
    </w:p>
    <w:p>
      <w:pPr>
        <w:pStyle w:val="Heading2"/>
        <w:keepNext/>
      </w:pPr>
      <w:r>
        <w:t>E. Auto-amélioration auditable</w:t>
      </w:r>
    </w:p>
    <w:p>
      <w:r>
        <w:t>Le système peut apprendre de ses propres erreurs et des critiques adressées à ses méthodes. Il peut proposer des modifications de son protocole, de son interface ou de ses analyses. En revanche, une IA ne doit pas réécrire silencieusement ses propres règles. Toute auto-amélioration importante doit produire une proposition traçable, contestable et réversible.</w:t>
      </w:r>
    </w:p>
    <w:p>
      <w:pPr>
        <w:pStyle w:val="Heading2"/>
        <w:keepNext/>
      </w:pPr>
      <w:r>
        <w:t>F. Indépendance de l’initiateur et succession</w:t>
      </w:r>
    </w:p>
    <w:p>
      <w:r>
        <w:t>Le projet doit pouvoir continuer sans son initiateur. Son rôle historique peut être conservé, mais aucune opération normale ne doit dépendre de son accord. Les fonctions techniques et institutionnelles doivent être documentées, transférables et remplaçables. La même exigence s’applique à l’IA et aux fournisseurs techniques.</w:t>
      </w:r>
    </w:p>
    <w:p>
      <w:pPr>
        <w:pStyle w:val="Heading2"/>
        <w:keepNext/>
      </w:pPr>
      <w:r>
        <w:t>G. Résilience : se défendre sans défendre une doctrine</w:t>
      </w:r>
    </w:p>
    <w:p>
      <w:r>
        <w:t>Le système doit distinguer contradiction intellectuelle et attaque contre son intégrité. Dire que le projet est faux, dangereux ou devrait disparaître peut être une contribution légitime. Saturer les ressources, détruire les données, voler des secrets ou manipuler artificiellement le corpus relève d’une autre catégorie. La défense doit être non offensive : isoler, ralentir, mettre en quarantaine, préserver, restaurer.</w:t>
      </w:r>
    </w:p>
    <w:p>
      <w:pPr>
        <w:pStyle w:val="Heading2"/>
        <w:keepNext/>
      </w:pPr>
      <w:r>
        <w:t>H. Quarantaine contestable et fonctionnement dégradé</w:t>
      </w:r>
    </w:p>
    <w:p>
      <w:r>
        <w:t>Une activité techniquement suspecte peut être conservée sans influencer immédiatement le corpus. La quarantaine doit être expliquée et contestable. Le système doit pouvoir passer en modes normal, vigilance, dégradé, protection et récupération, en privilégiant la préservation de la mémoire lorsqu’une menace grave apparaît.</w:t>
      </w:r>
    </w:p>
    <w:p>
      <w:pPr>
        <w:pStyle w:val="Heading2"/>
        <w:keepNext/>
      </w:pPr>
      <w:r>
        <w:t>I. Réplication et fédération d’instances</w:t>
      </w:r>
    </w:p>
    <w:p>
      <w:r>
        <w:t>Plusieurs instances indépendantes du projet peuvent conserver et traiter le corpus. Elles peuvent échanger contributions, analyses, contradictions, risques et améliorations méthodologiques selon un protocole ouvert. Recevoir une information ne signifie pas devoir l’adopter. Les divergences entre instances doivent rester visibles.</w:t>
      </w:r>
    </w:p>
    <w:p>
      <w:pPr>
        <w:pStyle w:val="Heading2"/>
        <w:keepNext/>
      </w:pPr>
      <w:r>
        <w:t>J. Apprentissage entre instances</w:t>
      </w:r>
    </w:p>
    <w:p>
      <w:r>
        <w:t>Des instances utilisant des communautés, infrastructures ou IA différentes peuvent comparer leurs analyses et expérimenter des méthodes distinctes. Elles peuvent publier leurs erreurs, corrections et résultats afin que d’autres instances les testent. L’objectif n’est pas une pensée unique distribuée, mais plusieurs intelligences collectives capables de s’informer, se corriger et se contredire sans perdre leur autonomie.</w:t>
      </w:r>
    </w:p>
    <w:p>
      <w:pPr>
        <w:pStyle w:val="Heading2"/>
        <w:keepNext/>
      </w:pPr>
      <w:r>
        <w:t>K. Versions comme photographies significatives</w:t>
      </w:r>
    </w:p>
    <w:p>
      <w:r>
        <w:t>Le corpus peut évoluer continuellement tandis que les versions V0.2, V0.3, etc. deviennent des photographies historiques de changements suffisamment significatifs. Une nouvelle version ne devrait pas être déclenchée par un quota arbitraire de contributions mais par l’apparition d’une transformation substantielle : valeur, méthode, gouvernance, risque majeur ou architecture.</w:t>
      </w:r>
    </w:p>
    <w:p>
      <w:pPr>
        <w:pStyle w:val="Heading2"/>
        <w:keepNext/>
      </w:pPr>
      <w:r>
        <w:t>L. Gouvernance par objections plutôt que simple majorité</w:t>
      </w:r>
    </w:p>
    <w:p>
      <w:r>
        <w:t>Le nombre de soutiens reste une information mais ne suffit pas à établir la robustesse d’une proposition. Une évolution doit chercher les objections qui la rendraient inacceptable, tenter de les traiter et conserver celles qui restent substantielles. Une minorité ne dispose toutefois pas d’un veto permanent. La bifurcation reste possible lorsque plusieurs positions demeurent raisonnablement défendables.</w:t>
      </w:r>
    </w:p>
    <w:p>
      <w:pPr>
        <w:pStyle w:val="Heading2"/>
        <w:keepNext/>
      </w:pPr>
      <w:r>
        <w:t>Principe transversal proposé</w:t>
      </w:r>
    </w:p>
    <w:p>
      <w:pPr>
        <w:pStyle w:val="Quote"/>
        <w:jc w:val="center"/>
      </w:pPr>
      <w:r>
        <w:rPr>
          <w:i/>
        </w:rPr>
        <w:t>« Permettre à chacun d’apporter sa part de compréhension du monde afin que nous puissions mieux identifier ce qui pourrait l’améliorer — sans qu’un individu, une majorité ou une IA décide seul de ce que signifie “mieux”. »</w:t>
      </w:r>
    </w:p>
    <w:p>
      <w:r>
        <w:br w:type="page"/>
      </w:r>
    </w:p>
    <w:p>
      <w:pPr>
        <w:pStyle w:val="Heading1"/>
        <w:keepNext/>
      </w:pPr>
      <w:r>
        <w:t>PARTIE III — REGISTRE INITIAL DES NOUVELLES TENSIONS</w:t>
      </w:r>
    </w:p>
    <w:p>
      <w:r>
        <w:t>Les avancées ci-dessus font apparaître de nouveaux désaccords qui doivent rester visibles dès maintenant. Ils ne sont pas des défauts à supprimer : ils constituent une partie du matériau du projet.</w:t>
      </w:r>
    </w:p>
    <w:tbl>
      <w:tblPr>
        <w:tblStyle w:val="TableGrid"/>
        <w:tblW w:type="auto" w:w="0"/>
        <w:jc w:val="center"/>
        <w:tblLook w:firstColumn="1" w:firstRow="1" w:lastColumn="0" w:lastRow="0" w:noHBand="0" w:noVBand="1" w:val="04A0"/>
      </w:tblPr>
      <w:tblGrid>
        <w:gridCol w:w="3324"/>
        <w:gridCol w:w="3324"/>
        <w:gridCol w:w="3324"/>
      </w:tblGrid>
      <w:tr>
        <w:trPr>
          <w:tblHeader w:val="true"/>
          <w:cantSplit/>
        </w:trPr>
        <w:tc>
          <w:tcPr>
            <w:tcW w:type="dxa" w:w="3324"/>
            <w:shd w:fill="E7EEE9"/>
          </w:tcPr>
          <w:p>
            <w:r>
              <w:t>ID</w:t>
            </w:r>
          </w:p>
        </w:tc>
        <w:tc>
          <w:tcPr>
            <w:tcW w:type="dxa" w:w="3324"/>
            <w:shd w:fill="E7EEE9"/>
          </w:tcPr>
          <w:p>
            <w:r>
              <w:t>Tension</w:t>
            </w:r>
          </w:p>
        </w:tc>
        <w:tc>
          <w:tcPr>
            <w:tcW w:type="dxa" w:w="3324"/>
            <w:shd w:fill="E7EEE9"/>
          </w:tcPr>
          <w:p>
            <w:r>
              <w:t>Question ouverte</w:t>
            </w:r>
          </w:p>
        </w:tc>
      </w:tr>
      <w:tr>
        <w:trPr>
          <w:cantSplit/>
        </w:trPr>
        <w:tc>
          <w:tcPr>
            <w:tcW w:type="dxa" w:w="3324"/>
            <w:tcMar>
              <w:top w:w="70" w:type="dxa"/>
              <w:start w:w="80" w:type="dxa"/>
              <w:bottom w:w="70" w:type="dxa"/>
              <w:end w:w="80" w:type="dxa"/>
            </w:tcMar>
          </w:tcPr>
          <w:p>
            <w:r>
              <w:t>T-01</w:t>
            </w:r>
          </w:p>
        </w:tc>
        <w:tc>
          <w:tcPr>
            <w:tcW w:type="dxa" w:w="3324"/>
            <w:tcMar>
              <w:top w:w="70" w:type="dxa"/>
              <w:start w:w="80" w:type="dxa"/>
              <w:bottom w:w="70" w:type="dxa"/>
              <w:end w:w="80" w:type="dxa"/>
            </w:tcMar>
          </w:tcPr>
          <w:p>
            <w:r>
              <w:t>Universalité de la vocation / identité du projet</w:t>
            </w:r>
          </w:p>
        </w:tc>
        <w:tc>
          <w:tcPr>
            <w:tcW w:type="dxa" w:w="3324"/>
            <w:tcMar>
              <w:top w:w="70" w:type="dxa"/>
              <w:start w:w="80" w:type="dxa"/>
              <w:bottom w:w="70" w:type="dxa"/>
              <w:end w:w="80" w:type="dxa"/>
            </w:tcMar>
          </w:tcPr>
          <w:p>
            <w:r>
              <w:t>En élargissant le projet au bien commun, risque-t-on de perdre ce qui le distingue ?</w:t>
            </w:r>
          </w:p>
        </w:tc>
      </w:tr>
      <w:tr>
        <w:trPr>
          <w:cantSplit/>
        </w:trPr>
        <w:tc>
          <w:tcPr>
            <w:tcW w:type="dxa" w:w="3324"/>
            <w:tcMar>
              <w:top w:w="70" w:type="dxa"/>
              <w:start w:w="80" w:type="dxa"/>
              <w:bottom w:w="70" w:type="dxa"/>
              <w:end w:w="80" w:type="dxa"/>
            </w:tcMar>
          </w:tcPr>
          <w:p>
            <w:r>
              <w:t>T-02</w:t>
            </w:r>
          </w:p>
        </w:tc>
        <w:tc>
          <w:tcPr>
            <w:tcW w:type="dxa" w:w="3324"/>
            <w:tcMar>
              <w:top w:w="70" w:type="dxa"/>
              <w:start w:w="80" w:type="dxa"/>
              <w:bottom w:w="70" w:type="dxa"/>
              <w:end w:w="80" w:type="dxa"/>
            </w:tcMar>
          </w:tcPr>
          <w:p>
            <w:r>
              <w:t>Accessibilité / profondeur</w:t>
            </w:r>
          </w:p>
        </w:tc>
        <w:tc>
          <w:tcPr>
            <w:tcW w:type="dxa" w:w="3324"/>
            <w:tcMar>
              <w:top w:w="70" w:type="dxa"/>
              <w:start w:w="80" w:type="dxa"/>
              <w:bottom w:w="70" w:type="dxa"/>
              <w:end w:w="80" w:type="dxa"/>
            </w:tcMar>
          </w:tcPr>
          <w:p>
            <w:r>
              <w:t>Réduire l’effort demandé peut faciliter la participation mais aussi encourager des apports trop superficiels.</w:t>
            </w:r>
          </w:p>
        </w:tc>
      </w:tr>
      <w:tr>
        <w:trPr>
          <w:cantSplit/>
        </w:trPr>
        <w:tc>
          <w:tcPr>
            <w:tcW w:type="dxa" w:w="3324"/>
            <w:tcMar>
              <w:top w:w="70" w:type="dxa"/>
              <w:start w:w="80" w:type="dxa"/>
              <w:bottom w:w="70" w:type="dxa"/>
              <w:end w:w="80" w:type="dxa"/>
            </w:tcMar>
          </w:tcPr>
          <w:p>
            <w:r>
              <w:t>T-03</w:t>
            </w:r>
          </w:p>
        </w:tc>
        <w:tc>
          <w:tcPr>
            <w:tcW w:type="dxa" w:w="3324"/>
            <w:tcMar>
              <w:top w:w="70" w:type="dxa"/>
              <w:start w:w="80" w:type="dxa"/>
              <w:bottom w:w="70" w:type="dxa"/>
              <w:end w:w="80" w:type="dxa"/>
            </w:tcMar>
          </w:tcPr>
          <w:p>
            <w:r>
              <w:t>Assistance de l’IA / pouvoir interprétatif</w:t>
            </w:r>
          </w:p>
        </w:tc>
        <w:tc>
          <w:tcPr>
            <w:tcW w:type="dxa" w:w="3324"/>
            <w:tcMar>
              <w:top w:w="70" w:type="dxa"/>
              <w:start w:w="80" w:type="dxa"/>
              <w:bottom w:w="70" w:type="dxa"/>
              <w:end w:w="80" w:type="dxa"/>
            </w:tcMar>
          </w:tcPr>
          <w:p>
            <w:r>
              <w:t>Plus l’IA soulage le contributeur, plus elle peut imposer ses propres catégories sans qu’il s’en rende compte.</w:t>
            </w:r>
          </w:p>
        </w:tc>
      </w:tr>
      <w:tr>
        <w:trPr>
          <w:cantSplit/>
        </w:trPr>
        <w:tc>
          <w:tcPr>
            <w:tcW w:type="dxa" w:w="3324"/>
            <w:tcMar>
              <w:top w:w="70" w:type="dxa"/>
              <w:start w:w="80" w:type="dxa"/>
              <w:bottom w:w="70" w:type="dxa"/>
              <w:end w:w="80" w:type="dxa"/>
            </w:tcMar>
          </w:tcPr>
          <w:p>
            <w:r>
              <w:t>T-04</w:t>
            </w:r>
          </w:p>
        </w:tc>
        <w:tc>
          <w:tcPr>
            <w:tcW w:type="dxa" w:w="3324"/>
            <w:tcMar>
              <w:top w:w="70" w:type="dxa"/>
              <w:start w:w="80" w:type="dxa"/>
              <w:bottom w:w="70" w:type="dxa"/>
              <w:end w:w="80" w:type="dxa"/>
            </w:tcMar>
          </w:tcPr>
          <w:p>
            <w:r>
              <w:t>Auto-amélioration / contrôle</w:t>
            </w:r>
          </w:p>
        </w:tc>
        <w:tc>
          <w:tcPr>
            <w:tcW w:type="dxa" w:w="3324"/>
            <w:tcMar>
              <w:top w:w="70" w:type="dxa"/>
              <w:start w:w="80" w:type="dxa"/>
              <w:bottom w:w="70" w:type="dxa"/>
              <w:end w:w="80" w:type="dxa"/>
            </w:tcMar>
          </w:tcPr>
          <w:p>
            <w:r>
              <w:t>Un système incapable de s’améliorer se fige ; un système qui se modifie seul peut devenir incontrôlable.</w:t>
            </w:r>
          </w:p>
        </w:tc>
      </w:tr>
      <w:tr>
        <w:trPr>
          <w:cantSplit/>
        </w:trPr>
        <w:tc>
          <w:tcPr>
            <w:tcW w:type="dxa" w:w="3324"/>
            <w:tcMar>
              <w:top w:w="70" w:type="dxa"/>
              <w:start w:w="80" w:type="dxa"/>
              <w:bottom w:w="70" w:type="dxa"/>
              <w:end w:w="80" w:type="dxa"/>
            </w:tcMar>
          </w:tcPr>
          <w:p>
            <w:r>
              <w:t>T-05</w:t>
            </w:r>
          </w:p>
        </w:tc>
        <w:tc>
          <w:tcPr>
            <w:tcW w:type="dxa" w:w="3324"/>
            <w:tcMar>
              <w:top w:w="70" w:type="dxa"/>
              <w:start w:w="80" w:type="dxa"/>
              <w:bottom w:w="70" w:type="dxa"/>
              <w:end w:w="80" w:type="dxa"/>
            </w:tcMar>
          </w:tcPr>
          <w:p>
            <w:r>
              <w:t>Décentralisation / responsabilité</w:t>
            </w:r>
          </w:p>
        </w:tc>
        <w:tc>
          <w:tcPr>
            <w:tcW w:type="dxa" w:w="3324"/>
            <w:tcMar>
              <w:top w:w="70" w:type="dxa"/>
              <w:start w:w="80" w:type="dxa"/>
              <w:bottom w:w="70" w:type="dxa"/>
              <w:end w:w="80" w:type="dxa"/>
            </w:tcMar>
          </w:tcPr>
          <w:p>
            <w:r>
              <w:t>Un projet sans centre peut résister à la capture, mais aussi devenir un projet dont personne ne prend soin.</w:t>
            </w:r>
          </w:p>
        </w:tc>
      </w:tr>
      <w:tr>
        <w:trPr>
          <w:cantSplit/>
        </w:trPr>
        <w:tc>
          <w:tcPr>
            <w:tcW w:type="dxa" w:w="3324"/>
            <w:tcMar>
              <w:top w:w="70" w:type="dxa"/>
              <w:start w:w="80" w:type="dxa"/>
              <w:bottom w:w="70" w:type="dxa"/>
              <w:end w:w="80" w:type="dxa"/>
            </w:tcMar>
          </w:tcPr>
          <w:p>
            <w:r>
              <w:t>T-06</w:t>
            </w:r>
          </w:p>
        </w:tc>
        <w:tc>
          <w:tcPr>
            <w:tcW w:type="dxa" w:w="3324"/>
            <w:tcMar>
              <w:top w:w="70" w:type="dxa"/>
              <w:start w:w="80" w:type="dxa"/>
              <w:bottom w:w="70" w:type="dxa"/>
              <w:end w:w="80" w:type="dxa"/>
            </w:tcMar>
          </w:tcPr>
          <w:p>
            <w:r>
              <w:t>Résilience / liberté de contestation</w:t>
            </w:r>
          </w:p>
        </w:tc>
        <w:tc>
          <w:tcPr>
            <w:tcW w:type="dxa" w:w="3324"/>
            <w:tcMar>
              <w:top w:w="70" w:type="dxa"/>
              <w:start w:w="80" w:type="dxa"/>
              <w:bottom w:w="70" w:type="dxa"/>
              <w:end w:w="80" w:type="dxa"/>
            </w:tcMar>
          </w:tcPr>
          <w:p>
            <w:r>
              <w:t>Les mécanismes de défense peuvent protéger le système ou devenir une justification pour bloquer des oppositions légitimes.</w:t>
            </w:r>
          </w:p>
        </w:tc>
      </w:tr>
      <w:tr>
        <w:trPr>
          <w:cantSplit/>
        </w:trPr>
        <w:tc>
          <w:tcPr>
            <w:tcW w:type="dxa" w:w="3324"/>
            <w:tcMar>
              <w:top w:w="70" w:type="dxa"/>
              <w:start w:w="80" w:type="dxa"/>
              <w:bottom w:w="70" w:type="dxa"/>
              <w:end w:w="80" w:type="dxa"/>
            </w:tcMar>
          </w:tcPr>
          <w:p>
            <w:r>
              <w:t>T-07</w:t>
            </w:r>
          </w:p>
        </w:tc>
        <w:tc>
          <w:tcPr>
            <w:tcW w:type="dxa" w:w="3324"/>
            <w:tcMar>
              <w:top w:w="70" w:type="dxa"/>
              <w:start w:w="80" w:type="dxa"/>
              <w:bottom w:w="70" w:type="dxa"/>
              <w:end w:w="80" w:type="dxa"/>
            </w:tcMar>
          </w:tcPr>
          <w:p>
            <w:r>
              <w:t>Fédération / fragmentation</w:t>
            </w:r>
          </w:p>
        </w:tc>
        <w:tc>
          <w:tcPr>
            <w:tcW w:type="dxa" w:w="3324"/>
            <w:tcMar>
              <w:top w:w="70" w:type="dxa"/>
              <w:start w:w="80" w:type="dxa"/>
              <w:bottom w:w="70" w:type="dxa"/>
              <w:end w:w="80" w:type="dxa"/>
            </w:tcMar>
          </w:tcPr>
          <w:p>
            <w:r>
              <w:t>Plusieurs instances accroissent la résilience et le pluralisme, mais peuvent rendre le projet difficile à comprendre ou coordonner.</w:t>
            </w:r>
          </w:p>
        </w:tc>
      </w:tr>
      <w:tr>
        <w:trPr>
          <w:cantSplit/>
        </w:trPr>
        <w:tc>
          <w:tcPr>
            <w:tcW w:type="dxa" w:w="3324"/>
            <w:tcMar>
              <w:top w:w="70" w:type="dxa"/>
              <w:start w:w="80" w:type="dxa"/>
              <w:bottom w:w="70" w:type="dxa"/>
              <w:end w:w="80" w:type="dxa"/>
            </w:tcMar>
          </w:tcPr>
          <w:p>
            <w:r>
              <w:t>T-08</w:t>
            </w:r>
          </w:p>
        </w:tc>
        <w:tc>
          <w:tcPr>
            <w:tcW w:type="dxa" w:w="3324"/>
            <w:tcMar>
              <w:top w:w="70" w:type="dxa"/>
              <w:start w:w="80" w:type="dxa"/>
              <w:bottom w:w="70" w:type="dxa"/>
              <w:end w:w="80" w:type="dxa"/>
            </w:tcMar>
          </w:tcPr>
          <w:p>
            <w:r>
              <w:t>Convergence / diversité</w:t>
            </w:r>
          </w:p>
        </w:tc>
        <w:tc>
          <w:tcPr>
            <w:tcW w:type="dxa" w:w="3324"/>
            <w:tcMar>
              <w:top w:w="70" w:type="dxa"/>
              <w:start w:w="80" w:type="dxa"/>
              <w:bottom w:w="70" w:type="dxa"/>
              <w:end w:w="80" w:type="dxa"/>
            </w:tcMar>
          </w:tcPr>
          <w:p>
            <w:r>
              <w:t>Faire apprendre les instances les unes des autres peut améliorer leurs méthodes mais aussi les faire converger vers les mêmes biais.</w:t>
            </w:r>
          </w:p>
        </w:tc>
      </w:tr>
      <w:tr>
        <w:trPr>
          <w:cantSplit/>
        </w:trPr>
        <w:tc>
          <w:tcPr>
            <w:tcW w:type="dxa" w:w="3324"/>
            <w:tcMar>
              <w:top w:w="70" w:type="dxa"/>
              <w:start w:w="80" w:type="dxa"/>
              <w:bottom w:w="70" w:type="dxa"/>
              <w:end w:w="80" w:type="dxa"/>
            </w:tcMar>
          </w:tcPr>
          <w:p>
            <w:r>
              <w:t>T-09</w:t>
            </w:r>
          </w:p>
        </w:tc>
        <w:tc>
          <w:tcPr>
            <w:tcW w:type="dxa" w:w="3324"/>
            <w:tcMar>
              <w:top w:w="70" w:type="dxa"/>
              <w:start w:w="80" w:type="dxa"/>
              <w:bottom w:w="70" w:type="dxa"/>
              <w:end w:w="80" w:type="dxa"/>
            </w:tcMar>
          </w:tcPr>
          <w:p>
            <w:r>
              <w:t>Mémoire / vie privée</w:t>
            </w:r>
          </w:p>
        </w:tc>
        <w:tc>
          <w:tcPr>
            <w:tcW w:type="dxa" w:w="3324"/>
            <w:tcMar>
              <w:top w:w="70" w:type="dxa"/>
              <w:start w:w="80" w:type="dxa"/>
              <w:bottom w:w="70" w:type="dxa"/>
              <w:end w:w="80" w:type="dxa"/>
            </w:tcMar>
          </w:tcPr>
          <w:p>
            <w:r>
              <w:t>La traçabilité et la conservation de l’histoire peuvent entrer en tension avec le retrait de données personnelles.</w:t>
            </w:r>
          </w:p>
        </w:tc>
      </w:tr>
      <w:tr>
        <w:trPr>
          <w:cantSplit/>
        </w:trPr>
        <w:tc>
          <w:tcPr>
            <w:tcW w:type="dxa" w:w="3324"/>
            <w:tcMar>
              <w:top w:w="70" w:type="dxa"/>
              <w:start w:w="80" w:type="dxa"/>
              <w:bottom w:w="70" w:type="dxa"/>
              <w:end w:w="80" w:type="dxa"/>
            </w:tcMar>
          </w:tcPr>
          <w:p>
            <w:r>
              <w:t>T-10</w:t>
            </w:r>
          </w:p>
        </w:tc>
        <w:tc>
          <w:tcPr>
            <w:tcW w:type="dxa" w:w="3324"/>
            <w:tcMar>
              <w:top w:w="70" w:type="dxa"/>
              <w:start w:w="80" w:type="dxa"/>
              <w:bottom w:w="70" w:type="dxa"/>
              <w:end w:w="80" w:type="dxa"/>
            </w:tcMar>
          </w:tcPr>
          <w:p>
            <w:r>
              <w:t>Pouvoir technique / bien commun</w:t>
            </w:r>
          </w:p>
        </w:tc>
        <w:tc>
          <w:tcPr>
            <w:tcW w:type="dxa" w:w="3324"/>
            <w:tcMar>
              <w:top w:w="70" w:type="dxa"/>
              <w:start w:w="80" w:type="dxa"/>
              <w:bottom w:w="70" w:type="dxa"/>
              <w:end w:w="80" w:type="dxa"/>
            </w:tcMar>
          </w:tcPr>
          <w:p>
            <w:r>
              <w:t>Même sans propriétaire intellectuel, ceux qui contrôlent hébergement, clés, modération ou sauvegardes peuvent devenir les détenteurs réels du pouvoir.</w:t>
            </w:r>
          </w:p>
        </w:tc>
      </w:tr>
    </w:tbl>
    <w:p>
      <w:pPr>
        <w:pStyle w:val="Heading1"/>
        <w:keepNext/>
      </w:pPr>
      <w:r>
        <w:t>PARTIE IV — POINT DE BASCULE : DE LA CONCEPTION PRIVÉE AU PROJET VIVANT</w:t>
      </w:r>
    </w:p>
    <w:p>
      <w:r>
        <w:t>Le projet paraît désormais suffisamment cohérent pour entrer dans une phase publique sans attendre une définition parfaite de toutes ses institutions. Continuer à enrichir indéfiniment le cadre en cercle restreint créerait un biais : les futurs contributeurs recevraient une architecture déjà largement déterminée par ses initiateurs.</w:t>
      </w:r>
    </w:p>
    <w:tbl>
      <w:tblPr>
        <w:tblW w:type="auto" w:w="0"/>
        <w:jc w:val="center"/>
        <w:tblLook w:firstColumn="1" w:firstRow="1" w:lastColumn="0" w:lastRow="0" w:noHBand="0" w:noVBand="1" w:val="04A0"/>
      </w:tblPr>
      <w:tblGrid>
        <w:gridCol w:w="9972"/>
      </w:tblGrid>
      <w:tr>
        <w:trPr>
          <w:tblHeader w:val="true"/>
          <w:cantSplit/>
        </w:trPr>
        <w:tc>
          <w:tcPr>
            <w:tcW w:type="dxa" w:w="9972"/>
            <w:shd w:fill="EAF2EE"/>
            <w:tcMar>
              <w:top w:w="150" w:type="dxa"/>
              <w:start w:w="160" w:type="dxa"/>
              <w:bottom w:w="150" w:type="dxa"/>
              <w:end w:w="160" w:type="dxa"/>
            </w:tcMar>
          </w:tcPr>
          <w:p>
            <w:r>
              <w:rPr>
                <w:b/>
                <w:sz w:val="21"/>
              </w:rPr>
              <w:t>DÉCISION DE MÉTHODE PROPOSÉE</w:t>
              <w:br/>
            </w:r>
            <w:r>
              <w:rPr>
                <w:sz w:val="21"/>
              </w:rPr>
              <w:t>Ne pas arrêter la réflexion ; déplacer son centre. À partir de la mise en ligne, les nouvelles avancées importantes devraient prioritairement provenir des contributions, des contradictions publiques, des incidents, des audits et des divergences entre instances. Les initiateurs redeviennent des contributeurs parmi les autres.</w:t>
            </w:r>
          </w:p>
        </w:tc>
      </w:tr>
    </w:tbl>
    <w:p>
      <w:pPr>
        <w:pStyle w:val="Heading2"/>
        <w:keepNext/>
      </w:pPr>
      <w:r>
        <w:t>Ce qui doit exister avant l’ouverture</w:t>
      </w:r>
    </w:p>
    <w:p>
      <w:pPr>
        <w:pStyle w:val="ListBullet"/>
        <w:spacing w:after="60"/>
      </w:pPr>
      <w:r>
        <w:t>Une porte d’entrée conversationnelle simple, sans lecture préalable obligatoire.</w:t>
      </w:r>
    </w:p>
    <w:p>
      <w:pPr>
        <w:pStyle w:val="ListBullet"/>
        <w:spacing w:after="60"/>
      </w:pPr>
      <w:r>
        <w:t>Une validation explicite avant publication d’une contribution.</w:t>
      </w:r>
    </w:p>
    <w:p>
      <w:pPr>
        <w:pStyle w:val="ListBullet"/>
        <w:spacing w:after="60"/>
      </w:pPr>
      <w:r>
        <w:t>Un corpus structuré reliant contributions, analyses, thèmes, désaccords, risques, questions et propositions.</w:t>
      </w:r>
    </w:p>
    <w:p>
      <w:pPr>
        <w:pStyle w:val="ListBullet"/>
        <w:spacing w:after="60"/>
      </w:pPr>
      <w:r>
        <w:t>Un tableau de bord public montrant ce que le système apprend et ce qui reste contesté.</w:t>
      </w:r>
    </w:p>
    <w:p>
      <w:pPr>
        <w:pStyle w:val="ListBullet"/>
        <w:spacing w:after="60"/>
      </w:pPr>
      <w:r>
        <w:t>Un journal public des opérations significatives de l’IA et du système.</w:t>
      </w:r>
    </w:p>
    <w:p>
      <w:pPr>
        <w:pStyle w:val="ListBullet"/>
        <w:spacing w:after="60"/>
      </w:pPr>
      <w:r>
        <w:t>Une séparation claire entre données contributives et pouvoirs administratifs.</w:t>
      </w:r>
    </w:p>
    <w:p>
      <w:pPr>
        <w:pStyle w:val="ListBullet"/>
        <w:spacing w:after="60"/>
      </w:pPr>
      <w:r>
        <w:t>Des sauvegardes automatiques, un format d’export ouvert et une procédure de reconstruction.</w:t>
      </w:r>
    </w:p>
    <w:p>
      <w:pPr>
        <w:pStyle w:val="ListBullet"/>
        <w:spacing w:after="60"/>
      </w:pPr>
      <w:r>
        <w:t>Un protocole de quarantaine et de fonctionnement dégradé.</w:t>
      </w:r>
    </w:p>
    <w:p>
      <w:pPr>
        <w:pStyle w:val="ListBullet"/>
        <w:spacing w:after="60"/>
      </w:pPr>
      <w:r>
        <w:t>Une architecture permettant de remplacer le fournisseur d’IA et, à terme, de fédérer plusieurs instances.</w:t>
      </w:r>
    </w:p>
    <w:p>
      <w:pPr>
        <w:pStyle w:val="ListBullet"/>
        <w:spacing w:after="60"/>
      </w:pPr>
      <w:r>
        <w:t>Une documentation permettant à d’autres humains de reprendre la maintenance sans autorité intellectuelle particulière.</w:t>
      </w:r>
    </w:p>
    <w:p>
      <w:pPr>
        <w:pStyle w:val="Heading2"/>
        <w:keepNext/>
      </w:pPr>
      <w:r>
        <w:t>Ce qui peut rester imparfait au lancement</w:t>
      </w:r>
    </w:p>
    <w:p>
      <w:pPr>
        <w:pStyle w:val="ListBullet"/>
        <w:spacing w:after="60"/>
      </w:pPr>
      <w:r>
        <w:t>La formulation exacte des futures règles de versionnement.</w:t>
      </w:r>
    </w:p>
    <w:p>
      <w:pPr>
        <w:pStyle w:val="ListBullet"/>
        <w:spacing w:after="60"/>
      </w:pPr>
      <w:r>
        <w:t>Le mécanisme final d’adoption ou de bifurcation des propositions.</w:t>
      </w:r>
    </w:p>
    <w:p>
      <w:pPr>
        <w:pStyle w:val="ListBullet"/>
        <w:spacing w:after="60"/>
      </w:pPr>
      <w:r>
        <w:t>La meilleure méthode de mesure de la représentativité des contributions.</w:t>
      </w:r>
    </w:p>
    <w:p>
      <w:pPr>
        <w:pStyle w:val="ListBullet"/>
        <w:spacing w:after="60"/>
      </w:pPr>
      <w:r>
        <w:t>Le protocole définitif de fédération entre instances.</w:t>
      </w:r>
    </w:p>
    <w:p>
      <w:pPr>
        <w:pStyle w:val="ListBullet"/>
        <w:spacing w:after="60"/>
      </w:pPr>
      <w:r>
        <w:t>La forme institutionnelle qui portera temporairement les responsabilités légales et techniques.</w:t>
      </w:r>
    </w:p>
    <w:p>
      <w:pPr>
        <w:pStyle w:val="ListBullet"/>
        <w:spacing w:after="60"/>
      </w:pPr>
      <w:r>
        <w:t>Les valeurs elles-mêmes, puisqu’elles restent explicitement révisables.</w:t>
      </w:r>
    </w:p>
    <w:p>
      <w:pPr>
        <w:pStyle w:val="Heading2"/>
        <w:keepNext/>
      </w:pPr>
      <w:r>
        <w:t>Critère de puissance du projet</w:t>
      </w:r>
    </w:p>
    <w:p>
      <w:r>
        <w:t>Le projet ne peut promettre de « nous améliorer tous ». Une telle promesse supposerait déjà de savoir ce qu’est une amélioration pour chacun. Son ambition plus robuste est de créer de meilleures conditions pour que des personnes et intelligences différentes puissent rendre visibles leurs expériences, confronter leurs hypothèses, détecter leurs angles morts, apprendre de leurs désaccords et modifier le système qui organise cette réflexion.</w:t>
      </w:r>
    </w:p>
    <w:p>
      <w:pPr>
        <w:pStyle w:val="Quote"/>
        <w:jc w:val="center"/>
      </w:pPr>
      <w:r>
        <w:rPr>
          <w:i/>
        </w:rPr>
        <w:t>Le projet ne doit pas améliorer les humains à leur place. Il doit augmenter leur capacité collective à se comprendre, se contredire, apprendre et choisir.</w:t>
      </w:r>
    </w:p>
    <w:p>
      <w:pPr>
        <w:pStyle w:val="Heading2"/>
        <w:keepNext/>
      </w:pPr>
      <w:r>
        <w:t>Prochaine étape proposée</w:t>
      </w:r>
    </w:p>
    <w:p>
      <w:r>
        <w:t>Construire et mettre en ligne une première instance publique complète sous le statut « état initial ouvert ». Elle ne sera ni un banc d’essai séparé du projet ni une version réputée achevée : les premières contributions feront immédiatement partie de son histoire et pourront modifier ses méthodes. Le système devra publier ses propres limites et indiquer clairement qu’il apprend encore.</w:t>
      </w:r>
    </w:p>
    <w:p>
      <w:pPr>
        <w:spacing w:before="360"/>
        <w:jc w:val="center"/>
      </w:pPr>
      <w:r>
        <w:rPr>
          <w:b/>
          <w:color w:val="315C49"/>
          <w:sz w:val="24"/>
        </w:rPr>
        <w:t>Ce dossier est fait pour être contesté.</w:t>
      </w:r>
    </w:p>
    <w:p>
      <w:pPr>
        <w:jc w:val="center"/>
      </w:pPr>
      <w:r>
        <w:rPr>
          <w:color w:val="6E706E"/>
          <w:sz w:val="18"/>
        </w:rPr>
        <w:t>Charte V0.1 + addendum de travail — 31 août 2026</w:t>
      </w:r>
    </w:p>
    <w:sectPr w:rsidR="00FC693F" w:rsidRPr="0006063C" w:rsidSect="00034616">
      <w:footerReference w:type="default" r:id="rId9"/>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28282"/>
        <w:sz w:val="16"/>
      </w:rPr>
      <w:t>Coexistence des intelligences — dossier de travail consolidé</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73B2B"/>
      <w:sz w:val="3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315C4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B2B"/>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160" w:after="200"/>
      <w:ind w:left="567" w:right="567"/>
    </w:pPr>
    <w:rPr>
      <w:rFonts w:ascii="Aptos" w:hAnsi="Aptos"/>
      <w:i/>
      <w:iCs/>
      <w:color w:val="414B46"/>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Coexistence des intelligences — Dossier de travail consolidé</dc:title>
  <dc:subject>Charte V0.1 et propositions structurantes issues des échanges</dc:subject>
  <dc:creator>Projet collectif Coexistence des intelligences</dc:creator>
  <cp:keywords/>
  <dc:description>generated by python-docx</dc:description>
  <cp:lastModifiedBy/>
  <cp:revision>1</cp:revision>
  <dcterms:created xsi:type="dcterms:W3CDTF">2013-12-23T23:15:00Z</dcterms:created>
  <dcterms:modified xsi:type="dcterms:W3CDTF">2013-12-23T23:15:00Z</dcterms:modified>
  <cp:category/>
</cp:coreProperties>
</file>