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Тема 1.1.3 Научная картина мира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Кормышев Егор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t>05.11.2024</w:t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 w:righ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bidi w:val="0"/>
            <w:ind w:hanging="0" w:left="0" w:right="0"/>
            <w:jc w:val="left"/>
            <w:rPr/>
          </w:pPr>
          <w:r>
            <w:fldChar w:fldCharType="begin"/>
          </w:r>
          <w:r>
            <w:rPr>
              <w:rStyle w:val="Hyperlink"/>
            </w:rPr>
            <w:instrText xml:space="preserve"> TOC \f \o "1-3" \n 1-9 \h</w:instrText>
          </w:r>
          <w:r>
            <w:rPr>
              <w:rStyle w:val="Hyperlink"/>
            </w:rPr>
            <w:fldChar w:fldCharType="separate"/>
          </w:r>
          <w:hyperlink w:anchor="orgbc06226">
            <w:r>
              <w:rPr>
                <w:rStyle w:val="Hyperlink"/>
              </w:rPr>
              <w:t>1. Определение</w:t>
            </w:r>
          </w:hyperlink>
        </w:p>
        <w:p>
          <w:pPr>
            <w:pStyle w:val="TOC2"/>
            <w:bidi w:val="0"/>
            <w:ind w:hanging="0" w:left="283" w:right="0"/>
            <w:jc w:val="left"/>
            <w:rPr/>
          </w:pPr>
          <w:hyperlink w:anchor="org7b38ebf">
            <w:r>
              <w:rPr>
                <w:rStyle w:val="Hyperlink"/>
              </w:rPr>
              <w:t>1.1. Компоненты НКМ</w:t>
            </w:r>
          </w:hyperlink>
        </w:p>
        <w:p>
          <w:pPr>
            <w:pStyle w:val="TOC2"/>
            <w:bidi w:val="0"/>
            <w:ind w:hanging="0" w:left="283" w:right="0"/>
            <w:jc w:val="left"/>
            <w:rPr/>
          </w:pPr>
          <w:hyperlink w:anchor="org812c85e">
            <w:r>
              <w:rPr>
                <w:rStyle w:val="Hyperlink"/>
              </w:rPr>
              <w:t>1.2. Принципы НКМ</w:t>
            </w:r>
          </w:hyperlink>
        </w:p>
        <w:p>
          <w:pPr>
            <w:pStyle w:val="TOC3"/>
            <w:bidi w:val="0"/>
            <w:ind w:hanging="0" w:left="566" w:right="0"/>
            <w:jc w:val="left"/>
            <w:rPr/>
          </w:pPr>
          <w:hyperlink w:anchor="org3d871eb">
            <w:r>
              <w:rPr>
                <w:rStyle w:val="Hyperlink"/>
              </w:rPr>
              <w:t>1.2.1. Общенаучные принципы</w:t>
            </w:r>
          </w:hyperlink>
          <w:r>
            <w:rPr>
              <w:rStyle w:val="Hyperlink"/>
            </w:rPr>
            <w:fldChar w:fldCharType="end"/>
          </w:r>
        </w:p>
      </w:sdtContent>
    </w:sdt>
    <w:p>
      <w:pPr>
        <w:pStyle w:val="Heading1"/>
        <w:bidi w:val="0"/>
        <w:ind w:hanging="0" w:left="0"/>
        <w:jc w:val="left"/>
        <w:rPr/>
      </w:pPr>
      <w:bookmarkStart w:id="0" w:name="OrgXref.orgbc06226"/>
      <w:bookmarkStart w:id="1" w:name="orgbc06226"/>
      <w:bookmarkEnd w:id="1"/>
      <w:r>
        <w:rPr/>
        <w:t xml:space="preserve">Определение </w:t>
      </w:r>
      <w:bookmarkEnd w:id="0"/>
    </w:p>
    <w:p>
      <w:pPr>
        <w:pStyle w:val="BodyText"/>
        <w:bidi w:val="0"/>
        <w:spacing w:before="0" w:after="120"/>
        <w:jc w:val="left"/>
        <w:rPr/>
      </w:pPr>
      <w:r>
        <w:rPr>
          <w:rStyle w:val="Bold"/>
        </w:rPr>
        <w:t>Научная картина мипа (НКМ)</w:t>
      </w:r>
      <w:r>
        <w:rPr/>
        <w:t xml:space="preserve"> - целостное представление о мире на данном этапе развития общества и научного знания </w:t>
      </w:r>
    </w:p>
    <w:p>
      <w:pPr>
        <w:pStyle w:val="Heading2"/>
        <w:bidi w:val="0"/>
        <w:ind w:hanging="0" w:left="0"/>
        <w:jc w:val="left"/>
        <w:rPr/>
      </w:pPr>
      <w:bookmarkStart w:id="2" w:name="OrgXref.org7b38ebf"/>
      <w:bookmarkStart w:id="3" w:name="org7b38ebf"/>
      <w:bookmarkEnd w:id="3"/>
      <w:r>
        <w:rPr/>
        <w:t xml:space="preserve">Компоненты НКМ </w:t>
      </w:r>
      <w:bookmarkEnd w:id="2"/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Концептуальный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hanging="360" w:left="1080"/>
        <w:jc w:val="left"/>
        <w:rPr/>
      </w:pPr>
      <w:r>
        <w:rPr/>
        <w:t xml:space="preserve">филосовские понятия (материя)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hanging="360" w:left="1080"/>
        <w:jc w:val="left"/>
        <w:rPr/>
      </w:pPr>
      <w:r>
        <w:rPr/>
        <w:t xml:space="preserve">Движение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Чувственно-образный </w:t>
      </w:r>
    </w:p>
    <w:p>
      <w:pPr>
        <w:pStyle w:val="Heading2"/>
        <w:bidi w:val="0"/>
        <w:ind w:hanging="0" w:left="0"/>
        <w:jc w:val="left"/>
        <w:rPr/>
      </w:pPr>
      <w:bookmarkStart w:id="4" w:name="OrgXref.org812c85e"/>
      <w:bookmarkStart w:id="5" w:name="org812c85e"/>
      <w:bookmarkEnd w:id="5"/>
      <w:r>
        <w:rPr/>
        <w:t xml:space="preserve">Принципы НКМ </w:t>
      </w:r>
      <w:bookmarkEnd w:id="4"/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Принцип всеобщей взаимосвязи и взаимной обусловленности явлений и процессов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Принцип развития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Принцип единства мира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Общенаучные понятия (Физика)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Закон сохранения и превращения энергии и закон эволюционного развития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Закон эволюционного развития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Общенаучные принципы </w:t>
      </w:r>
    </w:p>
    <w:p>
      <w:pPr>
        <w:pStyle w:val="Heading3"/>
        <w:bidi w:val="0"/>
        <w:ind w:hanging="0" w:left="0"/>
        <w:jc w:val="left"/>
        <w:rPr/>
      </w:pPr>
      <w:bookmarkStart w:id="6" w:name="OrgXref.org3d871eb"/>
      <w:bookmarkStart w:id="7" w:name="org3d871eb"/>
      <w:bookmarkEnd w:id="7"/>
      <w:r>
        <w:rPr/>
        <w:t xml:space="preserve">Общенаучные принципы </w:t>
      </w:r>
      <w:bookmarkEnd w:id="6"/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360" w:left="720"/>
        <w:jc w:val="left"/>
        <w:rPr/>
      </w:pPr>
      <w:r>
        <w:rPr/>
        <w:t xml:space="preserve">Принцип детерменизма - все определено предшествующими событиями и определяет последующие события (Случайности не случайны)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120"/>
        <w:ind w:hanging="360" w:left="720"/>
        <w:jc w:val="left"/>
        <w:rPr/>
      </w:pPr>
      <w:r>
        <w:rPr/>
        <w:t xml:space="preserve">Принцип верификации - научной значимостью обладают только те знания, содержание которых можно обосновать с помощью наблюдений и экспериментов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BodyText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BodyTextIndent">
    <w:name w:val="Body Text Indent"/>
    <w:basedOn w:val="BodyText"/>
    <w:pPr>
      <w:ind w:hanging="0" w:left="283" w:right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left="2835" w:right="0"/>
    </w:pPr>
    <w:rPr/>
  </w:style>
  <w:style w:type="paragraph" w:styleId="BodyTextFirstIndent">
    <w:name w:val="Body Text First Indent"/>
    <w:basedOn w:val="BodyText"/>
    <w:pPr>
      <w:ind w:firstLine="283" w:left="0" w:right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left="567" w:right="0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left="0" w:righ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left="283" w:right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left="566" w:right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left="849" w:right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left="1132" w:right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left="1415" w:right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left="1698" w:right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left="1981" w:right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left="2264" w:right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left="2547" w:right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OrgFootnoteQuotations">
    <w:name w:val="OrgFootnoteQuotations"/>
    <w:basedOn w:val="FootnoteText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BodyText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BodyText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BodyText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BodyText"/>
    <w:qFormat/>
    <w:pPr>
      <w:jc w:val="center"/>
    </w:pPr>
    <w:rPr/>
  </w:style>
  <w:style w:type="paragraph" w:styleId="OrgFootnoteCenter">
    <w:name w:val="OrgFootnoteCenter"/>
    <w:basedOn w:val="FootnoteText"/>
    <w:qFormat/>
    <w:pPr>
      <w:jc w:val="center"/>
    </w:pPr>
    <w:rPr/>
  </w:style>
  <w:style w:type="paragraph" w:styleId="OrgTableContents">
    <w:name w:val="OrgTableContents"/>
    <w:basedOn w:val="BodyText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BodyText"/>
    <w:next w:val="BodyText"/>
    <w:qFormat/>
    <w:pPr/>
    <w:rPr>
      <w:b/>
    </w:rPr>
  </w:style>
  <w:style w:type="paragraph" w:styleId="FootnoteText">
    <w:name w:val="Footnote Text"/>
    <w:basedOn w:val="Normal"/>
    <w:pPr>
      <w:suppressLineNumbers/>
      <w:ind w:hanging="283" w:left="283" w:right="0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hanging="0" w:left="0" w:right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hanging="0" w:left="0" w:right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BodyText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2024-11-07T11:49:21Z</dcterms:created>
  <dc:creator>Кормышев Егор</dc:creator>
  <dc:description/>
  <cp:keywords/>
  <dc:language>en-US</dc:language>
  <cp:lastModifiedBy>Кормышев Егор</cp:lastModifiedBy>
  <dcterms:modified xsi:type="dcterms:W3CDTF">2024-11-07T11:49:21Z</dcterms:modified>
  <cp:revision>0</cp:revision>
  <dc:subject/>
  <dc:title>Тема 1.1.3 Научная картина мира</dc:title>
</cp:coreProperties>
</file>