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SWOT-анализ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Кормышев Егор, Черноскутов Егор, Ломов Михаил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 w:end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bidi w:val="0"/>
            <w:ind w:hanging="0" w:start="0" w:end="0"/>
            <w:jc w:val="start"/>
            <w:rPr/>
          </w:pPr>
          <w:r>
            <w:fldChar w:fldCharType="begin"/>
          </w:r>
          <w:r>
            <w:rPr>
              <w:rStyle w:val="Hyperlink"/>
            </w:rPr>
            <w:instrText xml:space="preserve"> TOC \f \o "1-3" \n 1-9 \h</w:instrText>
          </w:r>
          <w:r>
            <w:rPr>
              <w:rStyle w:val="Hyperlink"/>
            </w:rPr>
            <w:fldChar w:fldCharType="separate"/>
          </w:r>
          <w:hyperlink w:anchor="org2d2ce71">
            <w:r>
              <w:rPr>
                <w:rStyle w:val="Hyperlink"/>
              </w:rPr>
              <w:t>1. Факторы развития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5747965">
            <w:r>
              <w:rPr>
                <w:rStyle w:val="Hyperlink"/>
              </w:rPr>
              <w:t>1.1. Внутренние</w:t>
            </w:r>
          </w:hyperlink>
        </w:p>
        <w:p>
          <w:pPr>
            <w:pStyle w:val="TOC3"/>
            <w:bidi w:val="0"/>
            <w:ind w:hanging="0" w:start="566" w:end="0"/>
            <w:jc w:val="start"/>
            <w:rPr/>
          </w:pPr>
          <w:hyperlink w:anchor="orge92c0a6">
            <w:r>
              <w:rPr>
                <w:rStyle w:val="Hyperlink"/>
              </w:rPr>
              <w:t>1.1.1. Сильные стороны</w:t>
            </w:r>
          </w:hyperlink>
        </w:p>
        <w:p>
          <w:pPr>
            <w:pStyle w:val="TOC3"/>
            <w:bidi w:val="0"/>
            <w:ind w:hanging="0" w:start="566" w:end="0"/>
            <w:jc w:val="start"/>
            <w:rPr/>
          </w:pPr>
          <w:hyperlink w:anchor="orga04dcd0">
            <w:r>
              <w:rPr>
                <w:rStyle w:val="Hyperlink"/>
              </w:rPr>
              <w:t>1.1.2. Слабые стороны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3fc0bbb">
            <w:r>
              <w:rPr>
                <w:rStyle w:val="Hyperlink"/>
              </w:rPr>
              <w:t>1.2. Внешние</w:t>
            </w:r>
          </w:hyperlink>
        </w:p>
        <w:p>
          <w:pPr>
            <w:pStyle w:val="TOC3"/>
            <w:bidi w:val="0"/>
            <w:ind w:hanging="0" w:start="566" w:end="0"/>
            <w:jc w:val="start"/>
            <w:rPr/>
          </w:pPr>
          <w:hyperlink w:anchor="orge61cb3c">
            <w:r>
              <w:rPr>
                <w:rStyle w:val="Hyperlink"/>
              </w:rPr>
              <w:t>1.2.1. Возможности</w:t>
            </w:r>
          </w:hyperlink>
        </w:p>
        <w:p>
          <w:pPr>
            <w:pStyle w:val="TOC3"/>
            <w:bidi w:val="0"/>
            <w:ind w:hanging="0" w:start="566" w:end="0"/>
            <w:jc w:val="start"/>
            <w:rPr/>
          </w:pPr>
          <w:hyperlink w:anchor="org2cab898">
            <w:r>
              <w:rPr>
                <w:rStyle w:val="Hyperlink"/>
              </w:rPr>
              <w:t>1.2.2. Угрозы</w:t>
            </w:r>
          </w:hyperlink>
          <w:r>
            <w:rPr>
              <w:rStyle w:val="Hyperlink"/>
            </w:rPr>
            <w:fldChar w:fldCharType="end"/>
          </w:r>
        </w:p>
      </w:sdtContent>
    </w:sdt>
    <w:p>
      <w:pPr>
        <w:pStyle w:val="Heading1"/>
        <w:bidi w:val="0"/>
        <w:ind w:hanging="0" w:start="0"/>
        <w:jc w:val="start"/>
        <w:rPr/>
      </w:pPr>
      <w:bookmarkStart w:id="0" w:name="OrgXref.org2d2ce71"/>
      <w:bookmarkStart w:id="1" w:name="org2d2ce71"/>
      <w:bookmarkEnd w:id="1"/>
      <w:r>
        <w:rPr/>
        <w:t xml:space="preserve">Факторы развития </w:t>
      </w:r>
      <w:bookmarkEnd w:id="0"/>
    </w:p>
    <w:p>
      <w:pPr>
        <w:pStyle w:val="Heading2"/>
        <w:bidi w:val="0"/>
        <w:ind w:hanging="0" w:start="0"/>
        <w:jc w:val="start"/>
        <w:rPr/>
      </w:pPr>
      <w:bookmarkStart w:id="2" w:name="OrgXref.org5747965"/>
      <w:bookmarkStart w:id="3" w:name="org5747965"/>
      <w:bookmarkEnd w:id="3"/>
      <w:r>
        <w:rPr/>
        <w:t xml:space="preserve">Внутренние </w:t>
      </w:r>
      <w:bookmarkEnd w:id="2"/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Структура общества - 54% женщин, 46% мужчин, средний возраст населения - 40 лет (37,5 мужчины; 42,5 женщины); Большинство - средний класс, присутствует социальное расслоение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Ценности (Семейные традиции, религия, патриотизм, образование, здравоохранение, культурное наследие)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Цели (Здоровье, семья и воспитание детей, надежные друзья, любимое дело)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Мотивы (Экономическое развитие, социальная стабильность, культурное развитие)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Материальные </w:t>
      </w:r>
    </w:p>
    <w:p>
      <w:pPr>
        <w:pStyle w:val="Heading3"/>
        <w:bidi w:val="0"/>
        <w:ind w:hanging="0" w:start="0"/>
        <w:jc w:val="start"/>
        <w:rPr/>
      </w:pPr>
      <w:bookmarkStart w:id="4" w:name="OrgXref.orge92c0a6"/>
      <w:bookmarkStart w:id="5" w:name="orge92c0a6"/>
      <w:bookmarkEnd w:id="5"/>
      <w:r>
        <w:rPr/>
        <w:t xml:space="preserve">Сильные стороны </w:t>
      </w:r>
      <w:bookmarkEnd w:id="4"/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Большое разнообразие полезных ископаемых, лесных и водных ресурсов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Открытые выходы к морям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Геополитическое влияние на внешние страны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Сильная промышленность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Обширные территории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Развитая железнодорожная инфраструктура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Развитое сельское хозяйство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Развитый туризм </w:t>
      </w:r>
    </w:p>
    <w:p>
      <w:pPr>
        <w:pStyle w:val="Heading3"/>
        <w:bidi w:val="0"/>
        <w:ind w:hanging="0" w:start="0"/>
        <w:jc w:val="start"/>
        <w:rPr/>
      </w:pPr>
      <w:bookmarkStart w:id="6" w:name="OrgXref.orga04dcd0"/>
      <w:bookmarkStart w:id="7" w:name="orga04dcd0"/>
      <w:bookmarkEnd w:id="7"/>
      <w:r>
        <w:rPr/>
        <w:t xml:space="preserve">Слабые стороны </w:t>
      </w:r>
      <w:bookmarkEnd w:id="6"/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Зависимость от экспорта ресурсов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Низкая производительность труда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Неравномерное распределение ресурсов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Отставание в некоторых отраслях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Изношенность инфраструктуры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Слабое развитие малого и среднего предпринимательства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Централизованное развитие </w:t>
      </w:r>
    </w:p>
    <w:p>
      <w:pPr>
        <w:pStyle w:val="Heading2"/>
        <w:bidi w:val="0"/>
        <w:ind w:hanging="0" w:start="0"/>
        <w:jc w:val="start"/>
        <w:rPr/>
      </w:pPr>
      <w:bookmarkStart w:id="8" w:name="OrgXref.org3fc0bbb"/>
      <w:bookmarkStart w:id="9" w:name="org3fc0bbb"/>
      <w:bookmarkEnd w:id="9"/>
      <w:r>
        <w:rPr/>
        <w:t xml:space="preserve">Внешние </w:t>
      </w:r>
      <w:bookmarkEnd w:id="8"/>
    </w:p>
    <w:p>
      <w:pPr>
        <w:pStyle w:val="Heading3"/>
        <w:bidi w:val="0"/>
        <w:ind w:hanging="0" w:start="0"/>
        <w:jc w:val="start"/>
        <w:rPr/>
      </w:pPr>
      <w:bookmarkStart w:id="10" w:name="OrgXref.orge61cb3c"/>
      <w:bookmarkStart w:id="11" w:name="orge61cb3c"/>
      <w:bookmarkEnd w:id="11"/>
      <w:r>
        <w:rPr/>
        <w:t xml:space="preserve">Возможности </w:t>
      </w:r>
      <w:bookmarkEnd w:id="10"/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Экологические инициативы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Геополитические и экономические союзы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Природные ресурсы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Туризм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Расширение рынков сбыта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Народное сотрудничество в области науки и техники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Участие в международных организациях </w:t>
      </w:r>
    </w:p>
    <w:p>
      <w:pPr>
        <w:pStyle w:val="Heading3"/>
        <w:bidi w:val="0"/>
        <w:ind w:hanging="0" w:start="0"/>
        <w:jc w:val="start"/>
        <w:rPr/>
      </w:pPr>
      <w:bookmarkStart w:id="12" w:name="OrgXref.org2cab898"/>
      <w:bookmarkStart w:id="13" w:name="org2cab898"/>
      <w:bookmarkEnd w:id="13"/>
      <w:r>
        <w:rPr/>
        <w:t xml:space="preserve">Угрозы </w:t>
      </w:r>
      <w:bookmarkEnd w:id="12"/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Санкции и торговые ограничения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Изменение климата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Киберугрозы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Конкуренция на мировом рынке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Угроза национальной безопасности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Территориальные конфликты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Международный терроризм 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Layout w:type="fixed"/>
        <w:tblCellMar>
          <w:top w:w="90" w:type="dxa"/>
          <w:start w:w="90" w:type="dxa"/>
          <w:bottom w:w="90" w:type="dxa"/>
          <w:end w:w="90" w:type="dxa"/>
        </w:tblCellMar>
      </w:tblPr>
      <w:tblGrid>
        <w:gridCol w:w="2313"/>
        <w:gridCol w:w="2313"/>
        <w:gridCol w:w="2313"/>
        <w:gridCol w:w="2313"/>
      </w:tblGrid>
      <w:tr>
        <w:trPr/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\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СиС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СлС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Развитие технологий обработки полезных ископаемых соблюдая экологические нормы безопасности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Использование природных ресурсов для собственного производства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Развитие морских торговых путей для улучшения междунородной торговли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Участие в международных научных организация для сокращения отставания в различных отраслях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Развитие собственного туризма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Использование собственных природных ресурсов для восстановления инфраструктуры страны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Расширение рынков сбыта за счет сильной промышленности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Оказывать помощь малому бизнесу за счет расшеренных рынков сбыта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Развитие торговли за счет сельского хозяйства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Возможность улучшения нифраструктуры за счет развития туризма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Развитие туризма и торговли за счет железной дороги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---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Богатство собственных ресурсов для нейтрализации санцкий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Возможное разрушение экономики при наличии санкций и отсутствии возможности экспорта ресурсов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Развитая транспортная система для подбора небходимого климата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Кибератаки на центральную информационную систему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Развитое сельское хозяйство для получения автономии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Кибератаки как угроза национальной безопасности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Усиление морских войск для защиты своих территорий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Низкая производительность труда при высокой конкуренции на мировм рынке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Использование геополитического влияния для предотвращения конфликтов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Туризм приводит к учащению международного терроризма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У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---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Сильная конкуренция на мировом рынке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gutter="0" w:header="0" w:top="1134" w:footer="1134" w:bottom="1693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before="0" w:after="120"/>
        <w:jc w:val="start"/>
        <w:rPr/>
      </w:pPr>
      <w:r>
        <w:rPr/>
        <w:t xml:space="preserve">Вывод: В результате проведенного анализа были оценены сильные и слабые стороны, возможности и угрозы для России. </w:t>
      </w:r>
    </w:p>
    <w:p>
      <w:pPr>
        <w:pStyle w:val="BodyText"/>
        <w:bidi w:val="0"/>
        <w:spacing w:before="0" w:after="120"/>
        <w:jc w:val="start"/>
        <w:rPr/>
      </w:pPr>
      <w:r>
        <w:rPr/>
        <w:t xml:space="preserve">В целом, Россия имеет ряд сильных сторон, которые могут способствовать её развитию. Однако существуют и слабые стороны, которые необходимо учитывать при разработке стратегии развития страны. Возможности, связанные с развитием высокотехнологичных отраслей и расширением внутреннего рынка, могут помочь преодолеть некоторые слабости и усилить сильные стороны. Угрозы, такие как санкции и политическая нестабильность, требуют внимательного анализа и разработки мер по их преодолению. </w:t>
      </w:r>
    </w:p>
    <w:sectPr>
      <w:type w:val="continuous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decimal"/>
      <w:suff w:val="nothing"/>
      <w:lvlText w:val="%1.%2. 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decimal"/>
      <w:suff w:val="nothing"/>
      <w:lvlText w:val="%1.%2.%3. 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4"/>
      <w:numFmt w:val="decimal"/>
      <w:suff w:val="nothing"/>
      <w:lvlText w:val="%1.%2.%3.%4. 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decimal"/>
      <w:suff w:val="nothing"/>
      <w:lvlText w:val="%1.%2.%3.%4.%5. 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decimal"/>
      <w:suff w:val="nothing"/>
      <w:lvlText w:val="%1.%2.%3.%4.%5.%6. 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decimal"/>
      <w:suff w:val="nothing"/>
      <w:lvlText w:val="%1.%2.%3.%4.%5.%6.%7. 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start"/>
      <w:pPr>
        <w:tabs>
          <w:tab w:val="num" w:pos="0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BodyText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OrgFootnoteQuotations">
    <w:name w:val="OrgFootnoteQuotations"/>
    <w:basedOn w:val="FootnoteText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BodyText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BodyText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BodyText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BodyText"/>
    <w:qFormat/>
    <w:pPr>
      <w:jc w:val="center"/>
    </w:pPr>
    <w:rPr/>
  </w:style>
  <w:style w:type="paragraph" w:styleId="OrgFootnoteCenter">
    <w:name w:val="OrgFootnoteCenter"/>
    <w:basedOn w:val="FootnoteText"/>
    <w:qFormat/>
    <w:pPr>
      <w:jc w:val="center"/>
    </w:pPr>
    <w:rPr/>
  </w:style>
  <w:style w:type="paragraph" w:styleId="OrgTableContents">
    <w:name w:val="OrgTableContents"/>
    <w:basedOn w:val="BodyText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BodyText"/>
    <w:next w:val="BodyText"/>
    <w:qFormat/>
    <w:pPr/>
    <w:rPr>
      <w:b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BodyText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4</Pages>
  <Words>473</Words>
  <Characters>3230</Characters>
  <CharactersWithSpaces>3616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2024-11-14T15:57:48Z</dcterms:created>
  <dc:creator>Кормышев Егор, Черноскутов Егор, Ломов Михаил</dc:creator>
  <dc:description/>
  <cp:keywords/>
  <dc:language>en-US</dc:language>
  <cp:lastModifiedBy>Кормышев Егор, Черноскутов Егор, Ломов Михаил</cp:lastModifiedBy>
  <dcterms:modified xsi:type="dcterms:W3CDTF">2024-11-14T15:57:48Z</dcterms:modified>
  <cp:revision>0</cp:revision>
  <dc:subject/>
  <dc:title>SWOT-анализ</dc:title>
</cp:coreProperties>
</file>