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Практическая работа. Глобальные проблемы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Кормышев Егор, Евплов Владимир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t>16.11.2024</w:t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3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Layout w:type="fixed"/>
        <w:tblCellMar>
          <w:top w:w="90" w:type="dxa"/>
          <w:start w:w="90" w:type="dxa"/>
          <w:bottom w:w="90" w:type="dxa"/>
          <w:end w:w="90" w:type="dxa"/>
        </w:tblCellMar>
      </w:tblPr>
      <w:tblGrid>
        <w:gridCol w:w="1850"/>
        <w:gridCol w:w="1850"/>
        <w:gridCol w:w="1851"/>
        <w:gridCol w:w="1850"/>
        <w:gridCol w:w="1851"/>
      </w:tblGrid>
      <w:tr>
        <w:trPr>
          <w:tblHeader w:val="true"/>
        </w:trPr>
        <w:tc>
          <w:tcPr>
            <w:tcW w:w="18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start"/>
              <w:rPr/>
            </w:pPr>
            <w:r>
              <w:rPr/>
              <w:t>Проблема</w:t>
            </w:r>
          </w:p>
        </w:tc>
        <w:tc>
          <w:tcPr>
            <w:tcW w:w="18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start"/>
              <w:rPr/>
            </w:pPr>
            <w:r>
              <w:rPr/>
              <w:t>Симптомы</w:t>
            </w:r>
          </w:p>
        </w:tc>
        <w:tc>
          <w:tcPr>
            <w:tcW w:w="18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start"/>
              <w:rPr/>
            </w:pPr>
            <w:r>
              <w:rPr/>
              <w:t>Причины</w:t>
            </w:r>
          </w:p>
        </w:tc>
        <w:tc>
          <w:tcPr>
            <w:tcW w:w="18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start"/>
              <w:rPr/>
            </w:pPr>
            <w:r>
              <w:rPr/>
              <w:t>Следствия</w:t>
            </w:r>
          </w:p>
        </w:tc>
        <w:tc>
          <w:tcPr>
            <w:tcW w:w="185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start"/>
              <w:rPr/>
            </w:pPr>
            <w:r>
              <w:rPr/>
              <w:t>Пути решения</w:t>
            </w:r>
          </w:p>
        </w:tc>
      </w:tr>
      <w:tr>
        <w:trPr/>
        <w:tc>
          <w:tcPr>
            <w:tcW w:w="185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Предотвращение мировой войны</w:t>
            </w:r>
          </w:p>
        </w:tc>
        <w:tc>
          <w:tcPr>
            <w:tcW w:w="185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Распространение технологий ядерного вооружения. 2) Неэффективность международных организаций. 3) Эскалация международной напряженности.</w:t>
            </w:r>
          </w:p>
        </w:tc>
        <w:tc>
          <w:tcPr>
            <w:tcW w:w="185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Ухудшение международных отношений. 2) Исторические споры. 3) Увеличение военных расходов. 4) Эскалация конфликтов. 5) Кризис экологии и ресурсов</w:t>
            </w:r>
          </w:p>
        </w:tc>
        <w:tc>
          <w:tcPr>
            <w:tcW w:w="185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Страх населения. 2) Опасность применения ядерного оружия. 3) Рост национализма 4) Эскалация международных отношений. 5) Информационная война.</w:t>
            </w:r>
          </w:p>
        </w:tc>
        <w:tc>
          <w:tcPr>
            <w:tcW w:w="185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Мирные инициативы. 2) Контроль над вооружением. 3) Сокращение ядерного арсенала. 4) Профилактика конфликтов. 5) Реформы международных институтов</w:t>
            </w:r>
          </w:p>
        </w:tc>
      </w:tr>
      <w:tr>
        <w:trPr/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Международный терроризм</w:t>
            </w:r>
          </w:p>
        </w:tc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Ущерб гражданскому населению и инфраструктуре. 2) Массовые миграции. 3) Страх общества.</w:t>
            </w:r>
          </w:p>
        </w:tc>
        <w:tc>
          <w:tcPr>
            <w:tcW w:w="1851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Неудовлетворенность политическими режимами. 2) Высокий уровень бедности и безработицы. 3) Военные конфликты. 4) Религиозные и культурные разногласия. 5) Идеалогия и пропаганда</w:t>
            </w:r>
          </w:p>
        </w:tc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Страх и недоверие между этническими группами. 2) Усиление затрат на безопасность. 3) Гумманитарная катастрофа. 4) Напряженность между государствами. 5) Изменение в общественном восприятии</w:t>
            </w:r>
          </w:p>
        </w:tc>
        <w:tc>
          <w:tcPr>
            <w:tcW w:w="1851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Международное сотрудничество. 2) Образование и просвящение. 3) Профилактика радиклизации. 4) Правохранительные меры. 5) Гумманитарная помощь</w:t>
            </w:r>
          </w:p>
        </w:tc>
      </w:tr>
      <w:tr>
        <w:trPr/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Экологические проблемы</w:t>
            </w:r>
          </w:p>
        </w:tc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Техногенные катастрофы. 2) Загрязнение окружающей среды. 3) Истощение природных ресурсов</w:t>
            </w:r>
          </w:p>
        </w:tc>
        <w:tc>
          <w:tcPr>
            <w:tcW w:w="1851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Развитие индустриализации и сельского хозяйства. 2) Потребление ресурсов. 3) Урбанизация. 4) Уничтожение биологического разнообразия. 5) Загрязнение воздуха, воды и почвы</w:t>
            </w:r>
          </w:p>
        </w:tc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Изменение климата. 2) Дефицит питьевой воды. 3) Потеря биологического разнообразия. 4) Увеличение уровня моря. 5) Угроза продовольственной безопсности</w:t>
            </w:r>
          </w:p>
        </w:tc>
        <w:tc>
          <w:tcPr>
            <w:tcW w:w="1851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Снижение выбросов парниковых газов. 2) Инновации технологии. 3) Защита и восстановление экосистем. 4) Снижение пластиковых отходов. 5) Осведомление населения</w:t>
            </w:r>
          </w:p>
        </w:tc>
      </w:tr>
      <w:tr>
        <w:trPr/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Проблема отсталости развивающихся стран</w:t>
            </w:r>
          </w:p>
        </w:tc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Повышенная миграция. 2) Гумманитарные катастрофы. 3) Благоприятная почва для развития бандитизма и терроризма</w:t>
            </w:r>
          </w:p>
        </w:tc>
        <w:tc>
          <w:tcPr>
            <w:tcW w:w="1851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Диктатурные режимы. 2) Колониальное наследие. 3) Низкий уровень образования. 4) Слабости институтов. 5) Неоптимальные географические условия и отдаленность от рынка.</w:t>
            </w:r>
          </w:p>
        </w:tc>
        <w:tc>
          <w:tcPr>
            <w:tcW w:w="1850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Развитие терроризма и иммиграции. 2) Низкий уровень жизни. 3) Зависимость от внешней помощи. 4) Социальное неравенство. 5) Нестабильность и конфликты</w:t>
            </w:r>
          </w:p>
        </w:tc>
        <w:tc>
          <w:tcPr>
            <w:tcW w:w="1851" w:type="dxa"/>
            <w:tcBorders/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Развитие инфраструктуры. 2) Инвестиция в местное производство и сельское хозяйство. 3) Улучшение здравоохраненние. 4) Социальная защита. 5) Международное сотрудничество и торговля</w:t>
            </w:r>
          </w:p>
        </w:tc>
      </w:tr>
      <w:tr>
        <w:trPr/>
        <w:tc>
          <w:tcPr>
            <w:tcW w:w="185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Пролема народонаселения</w:t>
            </w:r>
          </w:p>
        </w:tc>
        <w:tc>
          <w:tcPr>
            <w:tcW w:w="185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Сокращение численности населения. 2) Иммиграция. 3) Дисбаланс в половой структуре</w:t>
            </w:r>
          </w:p>
        </w:tc>
        <w:tc>
          <w:tcPr>
            <w:tcW w:w="185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Экономический упадок. 2) Снижение уровня рождаемости. 3) Ухудшение климата и экологии. 4) Изменение социального и культурного факторов. 5) Политические проблемы и усиление миграций</w:t>
            </w:r>
          </w:p>
        </w:tc>
        <w:tc>
          <w:tcPr>
            <w:tcW w:w="185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Нехватка рабочей силы. 2) Перезрузка инфраструктуры. 3) Религиозные и культурные конфликты. 4) Социальное неравенство. 5) Давление на природные ресурсы</w:t>
            </w:r>
          </w:p>
        </w:tc>
        <w:tc>
          <w:tcPr>
            <w:tcW w:w="185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start"/>
              <w:rPr/>
            </w:pPr>
            <w:r>
              <w:rPr/>
              <w:t>1) Поддержка программ соц обеспечения. 2) Улучшение условий жизни. 3) Экологическая устойчивость. 4) Интеграция мигрантов. 5) Увеличение доступности образования и просвещения</w:t>
            </w:r>
          </w:p>
        </w:tc>
      </w:tr>
    </w:tbl>
    <w:sectPr>
      <w:type w:val="continuous"/>
      <w:pgSz w:w="11906" w:h="16838"/>
      <w:pgMar w:left="1134" w:right="1134" w:gutter="0" w:header="0" w:top="1134" w:footer="1134" w:bottom="1693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start"/>
      <w:pPr>
        <w:tabs>
          <w:tab w:val="num" w:pos="0"/>
        </w:tabs>
        <w:ind w:start="432" w:hanging="432"/>
      </w:pPr>
    </w:lvl>
    <w:lvl w:ilvl="1">
      <w:start w:val="1"/>
      <w:pStyle w:val="Heading2"/>
      <w:numFmt w:val="decimal"/>
      <w:suff w:val="nothing"/>
      <w:lvlText w:val="%1.%2. 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3"/>
      <w:numFmt w:val="decimal"/>
      <w:suff w:val="nothing"/>
      <w:lvlText w:val="%1.%2.%3. "/>
      <w:lvlJc w:val="start"/>
      <w:pPr>
        <w:tabs>
          <w:tab w:val="num" w:pos="0"/>
        </w:tabs>
        <w:ind w:start="720" w:hanging="720"/>
      </w:pPr>
    </w:lvl>
    <w:lvl w:ilvl="3">
      <w:start w:val="1"/>
      <w:pStyle w:val="Heading4"/>
      <w:numFmt w:val="decimal"/>
      <w:suff w:val="nothing"/>
      <w:lvlText w:val="%1.%2.%3.%4. 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5"/>
      <w:numFmt w:val="decimal"/>
      <w:suff w:val="nothing"/>
      <w:lvlText w:val="%1.%2.%3.%4.%5. "/>
      <w:lvlJc w:val="start"/>
      <w:pPr>
        <w:tabs>
          <w:tab w:val="num" w:pos="0"/>
        </w:tabs>
        <w:ind w:start="1008" w:hanging="1008"/>
      </w:pPr>
    </w:lvl>
    <w:lvl w:ilvl="5">
      <w:start w:val="1"/>
      <w:pStyle w:val="Heading6"/>
      <w:numFmt w:val="decimal"/>
      <w:suff w:val="nothing"/>
      <w:lvlText w:val="%1.%2.%3.%4.%5.%6. "/>
      <w:lvlJc w:val="start"/>
      <w:pPr>
        <w:tabs>
          <w:tab w:val="num" w:pos="0"/>
        </w:tabs>
        <w:ind w:start="1152" w:hanging="1152"/>
      </w:pPr>
    </w:lvl>
    <w:lvl w:ilvl="6">
      <w:start w:val="1"/>
      <w:pStyle w:val="Heading7"/>
      <w:numFmt w:val="decimal"/>
      <w:suff w:val="nothing"/>
      <w:lvlText w:val="%1.%2.%3.%4.%5.%6.%7. "/>
      <w:lvlJc w:val="start"/>
      <w:pPr>
        <w:tabs>
          <w:tab w:val="num" w:pos="0"/>
        </w:tabs>
        <w:ind w:star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start"/>
      <w:pPr>
        <w:tabs>
          <w:tab w:val="num" w:pos="0"/>
        </w:tabs>
        <w:ind w:star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start"/>
      <w:pPr>
        <w:tabs>
          <w:tab w:val="num" w:pos="0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-A">
    <w:name w:val="OrgPriority-A"/>
    <w:basedOn w:val="OrgPriority"/>
    <w:qFormat/>
    <w:rPr/>
  </w:style>
  <w:style w:type="character" w:styleId="OrgPriority-B">
    <w:name w:val="OrgPriority-B"/>
    <w:basedOn w:val="OrgPriority"/>
    <w:qFormat/>
    <w:rPr/>
  </w:style>
  <w:style w:type="character" w:styleId="OrgPriority-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BodyText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Salutation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OrgFootnoteQuotations">
    <w:name w:val="OrgFootnoteQuotations"/>
    <w:basedOn w:val="FootnoteText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BodyText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BodyText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BodyText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BodyText"/>
    <w:qFormat/>
    <w:pPr>
      <w:jc w:val="center"/>
    </w:pPr>
    <w:rPr/>
  </w:style>
  <w:style w:type="paragraph" w:styleId="OrgFootnoteCenter">
    <w:name w:val="OrgFootnoteCenter"/>
    <w:basedOn w:val="FootnoteText"/>
    <w:qFormat/>
    <w:pPr>
      <w:jc w:val="center"/>
    </w:pPr>
    <w:rPr/>
  </w:style>
  <w:style w:type="paragraph" w:styleId="OrgTableContents">
    <w:name w:val="OrgTableContents"/>
    <w:basedOn w:val="BodyText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start"/>
    </w:pPr>
    <w:rPr/>
  </w:style>
  <w:style w:type="paragraph" w:styleId="OrgTableHeadingRight">
    <w:name w:val="OrgTableHeadingRight"/>
    <w:basedOn w:val="OrgTableHeading"/>
    <w:qFormat/>
    <w:pPr>
      <w:jc w:val="end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start"/>
    </w:pPr>
    <w:rPr/>
  </w:style>
  <w:style w:type="paragraph" w:styleId="OrgTableContentsRight">
    <w:name w:val="OrgTableContentsRight"/>
    <w:basedOn w:val="OrgTableContents"/>
    <w:qFormat/>
    <w:pPr>
      <w:jc w:val="end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BodyText"/>
    <w:next w:val="BodyText"/>
    <w:qFormat/>
    <w:pPr/>
    <w:rPr>
      <w:b/>
    </w:rPr>
  </w:style>
  <w:style w:type="paragraph" w:styleId="FootnoteText">
    <w:name w:val="Footnote Text"/>
    <w:basedOn w:val="Normal"/>
    <w:pPr>
      <w:suppressLineNumbers/>
      <w:ind w:hanging="283" w:start="283" w:end="0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hanging="0" w:start="0" w:end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BodyText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2</Pages>
  <Words>399</Words>
  <Characters>2864</Characters>
  <CharactersWithSpaces>3226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2024-11-16T10:53:48Z</dcterms:created>
  <dc:creator>Кормышев Егор, Евплов Владимир</dc:creator>
  <dc:description/>
  <cp:keywords/>
  <dc:language>en-US</dc:language>
  <cp:lastModifiedBy>Кормышев Егор, Евплов Владимир</cp:lastModifiedBy>
  <dcterms:modified xsi:type="dcterms:W3CDTF">2024-11-16T10:53:48Z</dcterms:modified>
  <cp:revision>0</cp:revision>
  <dc:subject/>
  <dc:title>Практическая работа. Глобальные проблемы</dc:title>
</cp:coreProperties>
</file>