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 w:before="0"/>
        <w:jc w:val="center"/>
      </w:pPr>
      <w:r>
        <w:rPr>
          <w:rFonts w:ascii="Times New Roman" w:hAnsi="Times New Roman" w:eastAsia="Times New Roman"/>
          <w:b/>
          <w:sz w:val="28"/>
        </w:rPr>
        <w:t>ТАБЛИЦА СЦЕНАРИЯ ОФОРМЛЕНИЯ ЗАКАЗА</w:t>
      </w:r>
    </w:p>
    <w:p>
      <w:pPr>
        <w:spacing w:line="276" w:lineRule="auto" w:after="0" w:before="0"/>
        <w:jc w:val="both"/>
      </w:pPr>
      <w:r>
        <w:rPr>
          <w:rFonts w:ascii="Times New Roman" w:hAnsi="Times New Roman" w:eastAsia="Times New Roman"/>
          <w:b w:val="0"/>
          <w:sz w:val="24"/>
        </w:rPr>
        <w:t>Заполните один сквозной процесс: от выбора товаров до подтверждения заказа. Таблица нужна до построения BPMN-диаграммы.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rPr>
          <w:tblHeader w:val="true"/>
        </w:trPr>
        <w:tc>
          <w:tcPr>
            <w:tcW w:type="dxa" w:w="226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  <w:shd w:fill="D9E2F3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/>
                <w:sz w:val="22"/>
              </w:rPr>
            </w:r>
            <w:r>
              <w:rPr>
                <w:rFonts w:ascii="Times New Roman" w:hAnsi="Times New Roman" w:eastAsia="Times New Roman"/>
                <w:b/>
                <w:sz w:val="22"/>
              </w:rPr>
              <w:t>Дорожка</w:t>
            </w:r>
          </w:p>
        </w:tc>
        <w:tc>
          <w:tcPr>
            <w:tcW w:type="dxa" w:w="3685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  <w:shd w:fill="D9E2F3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/>
                <w:sz w:val="22"/>
              </w:rPr>
            </w:r>
            <w:r>
              <w:rPr>
                <w:rFonts w:ascii="Times New Roman" w:hAnsi="Times New Roman" w:eastAsia="Times New Roman"/>
                <w:b/>
                <w:sz w:val="22"/>
              </w:rPr>
              <w:t>Шаг процесса</w:t>
            </w:r>
          </w:p>
        </w:tc>
        <w:tc>
          <w:tcPr>
            <w:tcW w:type="dxa" w:w="2381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  <w:shd w:fill="D9E2F3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/>
                <w:sz w:val="22"/>
              </w:rPr>
            </w:r>
            <w:r>
              <w:rPr>
                <w:rFonts w:ascii="Times New Roman" w:hAnsi="Times New Roman" w:eastAsia="Times New Roman"/>
                <w:b/>
                <w:sz w:val="22"/>
              </w:rPr>
              <w:t>Тип элемента BPMN</w:t>
            </w:r>
          </w:p>
        </w:tc>
        <w:tc>
          <w:tcPr>
            <w:tcW w:type="dxa" w:w="396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  <w:shd w:fill="D9E2F3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/>
                <w:sz w:val="22"/>
              </w:rPr>
            </w:r>
            <w:r>
              <w:rPr>
                <w:rFonts w:ascii="Times New Roman" w:hAnsi="Times New Roman" w:eastAsia="Times New Roman"/>
                <w:b/>
                <w:sz w:val="22"/>
              </w:rPr>
              <w:t>Условие или результат</w:t>
            </w:r>
          </w:p>
        </w:tc>
      </w:tr>
      <w:tr>
        <w:tc>
          <w:tcPr>
            <w:tcW w:type="dxa" w:w="226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Покупатель</w:t>
            </w:r>
          </w:p>
        </w:tc>
        <w:tc>
          <w:tcPr>
            <w:tcW w:type="dxa" w:w="3685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Начало оформления заказа</w:t>
            </w:r>
          </w:p>
        </w:tc>
        <w:tc>
          <w:tcPr>
            <w:tcW w:type="dxa" w:w="2381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Стартовое событие</w:t>
            </w:r>
          </w:p>
        </w:tc>
        <w:tc>
          <w:tcPr>
            <w:tcW w:type="dxa" w:w="396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Покупатель начинает процесс оформления.</w:t>
            </w:r>
          </w:p>
        </w:tc>
      </w:tr>
      <w:tr>
        <w:tc>
          <w:tcPr>
            <w:tcW w:type="dxa" w:w="226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Покупатель</w:t>
            </w:r>
          </w:p>
        </w:tc>
        <w:tc>
          <w:tcPr>
            <w:tcW w:type="dxa" w:w="3685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Выбрать товары в каталоге</w:t>
            </w:r>
          </w:p>
        </w:tc>
        <w:tc>
          <w:tcPr>
            <w:tcW w:type="dxa" w:w="2381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Задача</w:t>
            </w:r>
          </w:p>
        </w:tc>
        <w:tc>
          <w:tcPr>
            <w:tcW w:type="dxa" w:w="396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Товары выбраны и добавлены в корзину.</w:t>
            </w:r>
          </w:p>
        </w:tc>
      </w:tr>
      <w:tr>
        <w:tc>
          <w:tcPr>
            <w:tcW w:type="dxa" w:w="226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Покупатель</w:t>
            </w:r>
          </w:p>
        </w:tc>
        <w:tc>
          <w:tcPr>
            <w:tcW w:type="dxa" w:w="3685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Перейти к оформлению заказа</w:t>
            </w:r>
          </w:p>
        </w:tc>
        <w:tc>
          <w:tcPr>
            <w:tcW w:type="dxa" w:w="2381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Задача</w:t>
            </w:r>
          </w:p>
        </w:tc>
        <w:tc>
          <w:tcPr>
            <w:tcW w:type="dxa" w:w="396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Приложение начинает проверку корзины.</w:t>
            </w:r>
          </w:p>
        </w:tc>
      </w:tr>
      <w:tr>
        <w:tc>
          <w:tcPr>
            <w:tcW w:type="dxa" w:w="226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Приложение ShoeShop</w:t>
            </w:r>
          </w:p>
        </w:tc>
        <w:tc>
          <w:tcPr>
            <w:tcW w:type="dxa" w:w="3685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Запросить актуальные остатки товаров</w:t>
            </w:r>
          </w:p>
        </w:tc>
        <w:tc>
          <w:tcPr>
            <w:tcW w:type="dxa" w:w="2381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Задача</w:t>
            </w:r>
          </w:p>
        </w:tc>
        <w:tc>
          <w:tcPr>
            <w:tcW w:type="dxa" w:w="396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В базу данных отправлен запрос по товарам корзины.</w:t>
            </w:r>
          </w:p>
        </w:tc>
      </w:tr>
      <w:tr>
        <w:tc>
          <w:tcPr>
            <w:tcW w:type="dxa" w:w="226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База данных</w:t>
            </w:r>
          </w:p>
        </w:tc>
        <w:tc>
          <w:tcPr>
            <w:tcW w:type="dxa" w:w="3685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Проверить наличие и остатки товаров</w:t>
            </w:r>
          </w:p>
        </w:tc>
        <w:tc>
          <w:tcPr>
            <w:tcW w:type="dxa" w:w="2381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Задача</w:t>
            </w:r>
          </w:p>
        </w:tc>
        <w:tc>
          <w:tcPr>
            <w:tcW w:type="dxa" w:w="396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База данных возвращает актуальные сведения об остатках.</w:t>
            </w:r>
          </w:p>
        </w:tc>
      </w:tr>
      <w:tr>
        <w:tc>
          <w:tcPr>
            <w:tcW w:type="dxa" w:w="226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Приложение ShoeShop</w:t>
            </w:r>
          </w:p>
        </w:tc>
        <w:tc>
          <w:tcPr>
            <w:tcW w:type="dxa" w:w="3685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Все товары в наличии?</w:t>
            </w:r>
          </w:p>
        </w:tc>
        <w:tc>
          <w:tcPr>
            <w:tcW w:type="dxa" w:w="2381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Шлюз</w:t>
            </w:r>
          </w:p>
        </w:tc>
        <w:tc>
          <w:tcPr>
            <w:tcW w:type="dxa" w:w="396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Да — продолжить оформление; нет — показать сообщение о недоступных товарах.</w:t>
            </w:r>
          </w:p>
        </w:tc>
      </w:tr>
      <w:tr>
        <w:tc>
          <w:tcPr>
            <w:tcW w:type="dxa" w:w="226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Приложение ShoeShop</w:t>
            </w:r>
          </w:p>
        </w:tc>
        <w:tc>
          <w:tcPr>
            <w:tcW w:type="dxa" w:w="3685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Показать сообщение о недоступных товарах</w:t>
            </w:r>
          </w:p>
        </w:tc>
        <w:tc>
          <w:tcPr>
            <w:tcW w:type="dxa" w:w="2381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Задача</w:t>
            </w:r>
          </w:p>
        </w:tc>
        <w:tc>
          <w:tcPr>
            <w:tcW w:type="dxa" w:w="396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Ветка «Нет»: покупателю предлагается изменить состав корзины.</w:t>
            </w:r>
          </w:p>
        </w:tc>
      </w:tr>
      <w:tr>
        <w:tc>
          <w:tcPr>
            <w:tcW w:type="dxa" w:w="226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Покупатель</w:t>
            </w:r>
          </w:p>
        </w:tc>
        <w:tc>
          <w:tcPr>
            <w:tcW w:type="dxa" w:w="3685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Изменить состав корзины</w:t>
            </w:r>
          </w:p>
        </w:tc>
        <w:tc>
          <w:tcPr>
            <w:tcW w:type="dxa" w:w="2381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Задача</w:t>
            </w:r>
          </w:p>
        </w:tc>
        <w:tc>
          <w:tcPr>
            <w:tcW w:type="dxa" w:w="396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Корзина скорректирована; оформление можно повторить.</w:t>
            </w:r>
          </w:p>
        </w:tc>
      </w:tr>
      <w:tr>
        <w:tc>
          <w:tcPr>
            <w:tcW w:type="dxa" w:w="226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Покупатель</w:t>
            </w:r>
          </w:p>
        </w:tc>
        <w:tc>
          <w:tcPr>
            <w:tcW w:type="dxa" w:w="3685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Завершить неуспешную попытку оформления</w:t>
            </w:r>
          </w:p>
        </w:tc>
        <w:tc>
          <w:tcPr>
            <w:tcW w:type="dxa" w:w="2381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Конечное событие</w:t>
            </w:r>
          </w:p>
        </w:tc>
        <w:tc>
          <w:tcPr>
            <w:tcW w:type="dxa" w:w="396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Оформление не завершено; пользователь может повторить попытку.</w:t>
            </w:r>
          </w:p>
        </w:tc>
      </w:tr>
      <w:tr>
        <w:tc>
          <w:tcPr>
            <w:tcW w:type="dxa" w:w="226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Покупатель</w:t>
            </w:r>
          </w:p>
        </w:tc>
        <w:tc>
          <w:tcPr>
            <w:tcW w:type="dxa" w:w="3685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Выбрать пункт выдачи и подтвердить заказ</w:t>
            </w:r>
          </w:p>
        </w:tc>
        <w:tc>
          <w:tcPr>
            <w:tcW w:type="dxa" w:w="2381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Задача</w:t>
            </w:r>
          </w:p>
        </w:tc>
        <w:tc>
          <w:tcPr>
            <w:tcW w:type="dxa" w:w="396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Ветка «Да»: выбран пункт выдачи и подтверждены данные заказа.</w:t>
            </w:r>
          </w:p>
        </w:tc>
      </w:tr>
      <w:tr>
        <w:tc>
          <w:tcPr>
            <w:tcW w:type="dxa" w:w="226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Приложение ShoeShop</w:t>
            </w:r>
          </w:p>
        </w:tc>
        <w:tc>
          <w:tcPr>
            <w:tcW w:type="dxa" w:w="3685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Создать данные заказа и строки заказа</w:t>
            </w:r>
          </w:p>
        </w:tc>
        <w:tc>
          <w:tcPr>
            <w:tcW w:type="dxa" w:w="2381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Задача</w:t>
            </w:r>
          </w:p>
        </w:tc>
        <w:tc>
          <w:tcPr>
            <w:tcW w:type="dxa" w:w="396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Подготовлены заказ и позиции заказа.</w:t>
            </w:r>
          </w:p>
        </w:tc>
      </w:tr>
      <w:tr>
        <w:tc>
          <w:tcPr>
            <w:tcW w:type="dxa" w:w="2268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Приложение ShoeShop</w:t>
            </w:r>
          </w:p>
        </w:tc>
        <w:tc>
          <w:tcPr>
            <w:tcW w:type="dxa" w:w="3685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Назначить статус заказа и сформировать код получения</w:t>
            </w:r>
          </w:p>
        </w:tc>
        <w:tc>
          <w:tcPr>
            <w:tcW w:type="dxa" w:w="2381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Задача</w:t>
            </w:r>
          </w:p>
        </w:tc>
        <w:tc>
          <w:tcPr>
            <w:tcW w:type="dxa" w:w="3969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  <w:insideH w:val="single" w:sz="8" w:color="000000"/>
              <w:insideV w:val="single" w:sz="8" w:color="000000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Подготовлены статус заказа и код получения.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База данных</w:t>
            </w:r>
          </w:p>
        </w:tc>
        <w:tc>
          <w:tcPr>
            <w:tcW w:type="dxa" w:w="368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Сохранить заказ, строки заказа, пункт выдачи, статус и код</w:t>
            </w:r>
          </w:p>
        </w:tc>
        <w:tc>
          <w:tcPr>
            <w:tcW w:type="dxa" w:w="238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Задача</w:t>
            </w:r>
          </w:p>
        </w:tc>
        <w:tc>
          <w:tcPr>
            <w:tcW w:type="dxa" w:w="396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Данные заказа сохранены.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Приложение ShoeShop</w:t>
            </w:r>
          </w:p>
        </w:tc>
        <w:tc>
          <w:tcPr>
            <w:tcW w:type="dxa" w:w="368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Показать подтверждение заказа и код получения</w:t>
            </w:r>
          </w:p>
        </w:tc>
        <w:tc>
          <w:tcPr>
            <w:tcW w:type="dxa" w:w="238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Задача</w:t>
            </w:r>
          </w:p>
        </w:tc>
        <w:tc>
          <w:tcPr>
            <w:tcW w:type="dxa" w:w="396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Покупатель получает подтверждение и код получения.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Покупатель</w:t>
            </w:r>
          </w:p>
        </w:tc>
        <w:tc>
          <w:tcPr>
            <w:tcW w:type="dxa" w:w="368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Заказ оформлен</w:t>
            </w:r>
          </w:p>
        </w:tc>
        <w:tc>
          <w:tcPr>
            <w:tcW w:type="dxa" w:w="238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Конечное событие</w:t>
            </w:r>
          </w:p>
        </w:tc>
        <w:tc>
          <w:tcPr>
            <w:tcW w:type="dxa" w:w="396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Успешное завершение процесса.</w:t>
            </w:r>
          </w:p>
        </w:tc>
      </w:tr>
    </w:tbl>
    <w:sectPr w:rsidR="00FC693F" w:rsidRPr="0006063C" w:rsidSect="00034616">
      <w:pgSz w:w="15840" w:h="12240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