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面向室内无人机定位的新息驱动</w:t>
      </w:r>
      <w:r>
        <w:t xml:space="preserve"> </w:t>
      </w:r>
      <w:r>
        <w:t xml:space="preserve">UWB/INS</w:t>
      </w:r>
      <w:r>
        <w:t xml:space="preserve"> </w:t>
      </w:r>
      <w:r>
        <w:t xml:space="preserve">融合与遥测认证保护</w:t>
      </w:r>
    </w:p>
    <w:p>
      <w:pPr>
        <w:pStyle w:val="Subtitle"/>
      </w:pPr>
      <w:r>
        <w:t xml:space="preserve">可执行研究基线与合成数据评估</w:t>
      </w:r>
    </w:p>
    <w:p>
      <w:pPr>
        <w:pStyle w:val="BlockText"/>
      </w:pPr>
      <w:r>
        <w:rPr>
          <w:b/>
          <w:bCs/>
        </w:rPr>
        <w:t xml:space="preserve">稿件状态。</w:t>
      </w:r>
      <w:r>
        <w:t xml:space="preserve"> </w:t>
      </w:r>
      <w:r>
        <w:t xml:space="preserve">本工作稿延续所提供硕士开题报告的研究内容一。英文为权威主稿，本文件为对应中文译稿。本成果是初步的可复现研究基线，尚未完成真实无人机验证。方法组合的新颖性尚未确立。作者署名、目标期刊或会议以及最终投稿格式仍需确定。</w:t>
      </w:r>
    </w:p>
    <w:bookmarkStart w:id="20" w:name="摘要"/>
    <w:p>
      <w:pPr>
        <w:pStyle w:val="Heading1"/>
      </w:pPr>
      <w:r>
        <w:t xml:space="preserve">摘要</w:t>
      </w:r>
    </w:p>
    <w:p>
      <w:pPr>
        <w:pStyle w:val="FirstParagraph"/>
      </w:pPr>
      <w:r>
        <w:t xml:space="preserve">当卫星导航不可用且无线测量退化或中断时，室内无人机仍需要连续状态估计。本文建立一个可复现基线，将超宽带（UWB）测距与惯性测量通过三维误差状态扩展卡尔曼滤波器融合。估计状态包括位置、速度、姿态及惯性传感器零偏。标量测距更新利用归一化新息剔除严重不一致的观测，或在规定范围内增大测量方差。固定协方差融合、仅门限剔除、仅方差膨胀、纯 UWB 多边定位及纯惯性递推构成对照方法与消融实验。受控合成研究分别考察视距测距、正测距偏差、UWB 完全中断及其组合。在规定 NLOS 轨迹的十次噪声实现中，共同观测时刻的平均定位 RMSE 为：组合规则 0.0666 m、固定融合 1.1345 m、仅门限方法 0.0657 m；方差膨胀的额外增益尚未确立。实现还提供基于 AES-256-GCM 的遥测传输保护，并明确会话与防重放规则。定位鲁棒性与通信保护作为不同属性分别评估：认证加密不能证明测距观测的物理真实性。仓库记录建模假设、可执行配置、来源及实验输出。该成果为研究问题的检验提供基础；合成数据上的性能不能证明真实飞行精度、部署可用性，或相对当代先进方法的优势。</w:t>
      </w:r>
    </w:p>
    <w:p>
      <w:pPr>
        <w:pStyle w:val="BodyText"/>
      </w:pPr>
      <w:r>
        <w:rPr>
          <w:b/>
          <w:bCs/>
        </w:rPr>
        <w:t xml:space="preserve">关键词：</w:t>
      </w:r>
      <w:r>
        <w:t xml:space="preserve"> </w:t>
      </w:r>
      <w:r>
        <w:t xml:space="preserve">室内无人机定位；超宽带；惯性导航；误差状态卡尔曼滤波；新息门限；认证加密；可复现性。</w:t>
      </w:r>
    </w:p>
    <w:bookmarkEnd w:id="20"/>
    <w:bookmarkStart w:id="21" w:name="引言"/>
    <w:p>
      <w:pPr>
        <w:pStyle w:val="Heading1"/>
      </w:pPr>
      <w:r>
        <w:t xml:space="preserve">1. 引言</w:t>
      </w:r>
    </w:p>
    <w:p>
      <w:pPr>
        <w:pStyle w:val="FirstParagraph"/>
      </w:pPr>
      <w:r>
        <w:t xml:space="preserve">室内无人机可能无法获得可用的全球卫星导航系统测量。惯性测量单元（IMU）可以支持高频状态递推，但加速度、角速度、初始姿态及传感器零偏中的误差会随积分累积。与已测定位置的 UWB 基站之间的距离提供与位置有关的约束，其效果取决于基站几何、测量时序、标定及传播条件。遮挡路径产生的正测距偏差可能违背常规滤波器的零均值噪声假设。若全部 UWB 观测消失，估计器必须在缺少外部测距校正的情况下递推，其不确定性应随之增加。</w:t>
      </w:r>
    </w:p>
    <w:p>
      <w:pPr>
        <w:pStyle w:val="BodyText"/>
      </w:pPr>
      <w:r>
        <w:t xml:space="preserve">所提供开题报告包含 UWB/INS 与 UWB/视觉两个研究方向。本文聚焦 UWB/INS 方向，将原草稿尚不充分的“位置—速度—欧拉角”模型替换为具有明确约定的四元数误差状态模型，并纳入加速度计和陀螺仪零偏。同时，使鲁棒更新规则、基线定义、合成数据生成过程及遥测假设可供检查。视觉与同态加密方向不属于本次实现范围。</w:t>
      </w:r>
    </w:p>
    <w:p>
      <w:pPr>
        <w:pStyle w:val="BodyText"/>
      </w:pPr>
      <w:r>
        <w:t xml:space="preserve">本文研究新息驱动的测距处理能否改善指定合成偏差场景下的误差指标、在视距条件下付出何种代价，以及门限剔除和方差膨胀各自的作用。另一个独立问题是在明确网络攻击者模型下，遥测认证保护的实现正确性与开销。本文不假设加密本身能够提高定位精度。</w:t>
      </w:r>
    </w:p>
    <w:p>
      <w:pPr>
        <w:pStyle w:val="BodyText"/>
      </w:pPr>
      <w:r>
        <w:t xml:space="preserve">当前版本的贡献是可执行、可审查的基线与评估方案。本文不宣称卡尔曼滤波、新息检验与 AES-GCM 的组合构成新的估计或密码学方法。若要以方法新颖性为投稿主张，还需形成更明确的改进，并与最相关的已有研究比较。</w:t>
      </w:r>
    </w:p>
    <w:bookmarkEnd w:id="21"/>
    <w:bookmarkStart w:id="22" w:name="相关研究与本文定位"/>
    <w:p>
      <w:pPr>
        <w:pStyle w:val="Heading1"/>
      </w:pPr>
      <w:r>
        <w:t xml:space="preserve">2. 相关研究与本文定位</w:t>
      </w:r>
    </w:p>
    <w:p>
      <w:pPr>
        <w:pStyle w:val="FirstParagraph"/>
      </w:pPr>
      <w:r>
        <w:t xml:space="preserve">误差状态惯性滤波需要一致的旋转约定、误差注入和协方差重置。Solà 详细讨论了四元数运动学及局部误差状态模型</w:t>
      </w:r>
      <w:r>
        <w:t xml:space="preserve"> </w:t>
      </w:r>
      <w:r>
        <w:t xml:space="preserve">(Solà 2017)</w:t>
      </w:r>
      <w:r>
        <w:t xml:space="preserve">。本文采用右乘局部姿态误差约定，并明确说明实现中的传播与噪声近似。</w:t>
      </w:r>
    </w:p>
    <w:p>
      <w:pPr>
        <w:pStyle w:val="BodyText"/>
      </w:pPr>
      <w:r>
        <w:t xml:space="preserve">在本文之前，已有研究使用鲁棒 EKF 处理 UWB 非视距（NLOS）测量，也已有 UWB 融合中的自适应协方差研究</w:t>
      </w:r>
      <w:r>
        <w:t xml:space="preserve"> </w:t>
      </w:r>
      <w:r>
        <w:t xml:space="preserve">(Bordoy 等 2017; Briese, Kunze, 和 Rose 2017)</w:t>
      </w:r>
      <w:r>
        <w:t xml:space="preserve">。当前文献审计对这两篇文献仅完成书目元数据核验。它们支持“上述研究方向已有先例”这一有限判断，但不能据此详细重构其方法或宣称相对精度。达到投稿要求的相关研究部分还需阅读全文，并补充近期可复现的竞争方法。</w:t>
      </w:r>
    </w:p>
    <w:p>
      <w:pPr>
        <w:pStyle w:val="BodyText"/>
      </w:pPr>
      <w:r>
        <w:t xml:space="preserve">UTIL 数据集为真实无人机评估提供了相关候选来源，包含 UWB 到达时间差（TDOA）、惯性测量及动作捕捉真值</w:t>
      </w:r>
      <w:r>
        <w:t xml:space="preserve"> </w:t>
      </w:r>
      <w:r>
        <w:t xml:space="preserve">(Zhao 等 2024)</w:t>
      </w:r>
      <w:r>
        <w:t xml:space="preserve">。TDOA 观测是两条距离之差，而非独立的标签到基站距离。它的观测模型及潜在的跨观测相关性与本文标量测距模型不同。因此，论文元数据或数据集可获得性本身不构成本实现的实验证据；使用 UTIL 前必须验证数据适配器并采用正确的测量模型。连续时间 UWB 惯性估计也通过不同的估计框架处理异步测量</w:t>
      </w:r>
      <w:r>
        <w:t xml:space="preserve"> </w:t>
      </w:r>
      <w:r>
        <w:t xml:space="preserve">(Li, Cao, 和 Hanebeck 2023)</w:t>
      </w:r>
      <w:r>
        <w:t xml:space="preserve">，而本文的同步离散时间基线并未实现该方法。</w:t>
      </w:r>
    </w:p>
    <w:p>
      <w:pPr>
        <w:pStyle w:val="BodyText"/>
      </w:pPr>
      <w:r>
        <w:t xml:space="preserve">AES-GCM 是标准化的认证加密模式</w:t>
      </w:r>
      <w:r>
        <w:t xml:space="preserve"> </w:t>
      </w:r>
      <w:r>
        <w:t xml:space="preserve">(Dworkin 2007)</w:t>
      </w:r>
      <w:r>
        <w:t xml:space="preserve">。AEAD 接口同时认证附加数据和密文，并要求随机数的处理符合所选构造的约束</w:t>
      </w:r>
      <w:r>
        <w:t xml:space="preserve"> </w:t>
      </w:r>
      <w:r>
        <w:t xml:space="preserve">(McGrew 2008)</w:t>
      </w:r>
      <w:r>
        <w:t xml:space="preserve">。密码原语或成功解密均不会自动提供防重放策略，也不会认证物理传播路径；这些职责必须另行处理。</w:t>
      </w:r>
    </w:p>
    <w:bookmarkEnd w:id="22"/>
    <w:bookmarkStart w:id="27" w:name="状态传感器与初始化模型"/>
    <w:p>
      <w:pPr>
        <w:pStyle w:val="Heading1"/>
      </w:pPr>
      <w:r>
        <w:t xml:space="preserve">3. 状态、传感器与初始化模型</w:t>
      </w:r>
    </w:p>
    <w:bookmarkStart w:id="23" w:name="坐标系与状态"/>
    <w:p>
      <w:pPr>
        <w:pStyle w:val="Heading2"/>
      </w:pPr>
      <w:r>
        <w:t xml:space="preserve">3.1. 坐标系与状态</w:t>
      </w:r>
    </w:p>
    <w:p>
      <w:pPr>
        <w:pStyle w:val="FirstParagraph"/>
      </w:pPr>
      <w:r>
        <w:t xml:space="preserve">采用东—北—天（ENU）世界坐标系，重力为</w:t>
      </w:r>
      <w:r>
        <w:t xml:space="preserve"> </w:t>
      </w:r>
      <m:oMath>
        <m:r>
          <m:t>g</m:t>
        </m:r>
        <m:r>
          <m:rPr>
            <m:sty m:val="p"/>
          </m:rPr>
          <m:t>=</m:t>
        </m:r>
        <m:sSup>
          <m:e>
            <m:d>
              <m:dPr>
                <m:begChr m:val="["/>
                <m:endChr m:val="]"/>
                <m:sepChr m:val=""/>
                <m:grow/>
              </m:dPr>
              <m:e>
                <m:r>
                  <m:t>0</m:t>
                </m:r>
                <m:r>
                  <m:rPr>
                    <m:sty m:val="p"/>
                  </m:rPr>
                  <m:t>,</m:t>
                </m:r>
                <m:r>
                  <m:t>0</m:t>
                </m:r>
                <m:r>
                  <m:rPr>
                    <m:sty m:val="p"/>
                  </m:rPr>
                  <m:t>,</m:t>
                </m:r>
                <m:r>
                  <m:rPr>
                    <m:sty m:val="p"/>
                  </m:rPr>
                  <m:t>−</m:t>
                </m:r>
                <m:r>
                  <m:t>9.80665</m:t>
                </m:r>
              </m:e>
            </m:d>
          </m:e>
          <m:sup>
            <m:r>
              <m:t>T</m:t>
            </m:r>
          </m:sup>
        </m:sSup>
        <m:r>
          <m:t> </m:t>
        </m:r>
        <m:r>
          <m:rPr>
            <m:sty m:val="p"/>
          </m:rPr>
          <m:t>m</m:t>
        </m:r>
        <m:r>
          <m:rPr>
            <m:sty m:val="p"/>
          </m:rPr>
          <m:t> </m:t>
        </m:r>
        <m:sSup>
          <m:e>
            <m:r>
              <m:rPr>
                <m:sty m:val="p"/>
              </m:rPr>
              <m:t>s</m:t>
            </m:r>
          </m:e>
          <m:sup>
            <m:r>
              <m:rPr>
                <m:sty m:val="p"/>
              </m:rPr>
              <m:t>−</m:t>
            </m:r>
            <m:r>
              <m:rPr>
                <m:sty m:val="p"/>
              </m:rPr>
              <m:t>2</m:t>
            </m:r>
          </m:sup>
        </m:sSup>
      </m:oMath>
      <w:r>
        <w:t xml:space="preserve">。位置</w:t>
      </w:r>
      <w:r>
        <w:t xml:space="preserve"> </w:t>
      </w:r>
      <m:oMath>
        <m:r>
          <m:t>p</m:t>
        </m:r>
      </m:oMath>
      <w:r>
        <w:t xml:space="preserve"> </w:t>
      </w:r>
      <w:r>
        <w:t xml:space="preserve">与速度</w:t>
      </w:r>
      <w:r>
        <w:t xml:space="preserve"> </w:t>
      </w:r>
      <m:oMath>
        <m:r>
          <m:t>v</m:t>
        </m:r>
      </m:oMath>
      <w:r>
        <w:t xml:space="preserve"> </w:t>
      </w:r>
      <w:r>
        <w:t xml:space="preserve">在世界坐标系中表示。单位四元数</w:t>
      </w:r>
      <w:r>
        <w:t xml:space="preserve"> </w:t>
      </w:r>
      <m:oMath>
        <m:r>
          <m:t>q</m:t>
        </m:r>
      </m:oMath>
      <w:r>
        <w:t xml:space="preserve"> </w:t>
      </w:r>
      <w:r>
        <w:t xml:space="preserve">表示从机体到世界坐标系的旋转</w:t>
      </w:r>
      <w:r>
        <w:t xml:space="preserve"> </w:t>
      </w:r>
      <m:oMath>
        <m:r>
          <m:t>R</m:t>
        </m:r>
        <m:d>
          <m:dPr>
            <m:begChr m:val="("/>
            <m:endChr m:val=")"/>
            <m:sepChr m:val=""/>
            <m:grow/>
          </m:dPr>
          <m:e>
            <m:r>
              <m:t>q</m:t>
            </m:r>
          </m:e>
        </m:d>
      </m:oMath>
      <w:r>
        <w:t xml:space="preserve">，实现按</w:t>
      </w:r>
      <w:r>
        <w:t xml:space="preserve"> </w:t>
      </w:r>
      <m:oMath>
        <m:d>
          <m:dPr>
            <m:begChr m:val="("/>
            <m:endChr m:val=")"/>
            <m:sepChr m:val=""/>
            <m:grow/>
          </m:dPr>
          <m:e>
            <m:r>
              <m:t>x</m:t>
            </m:r>
            <m:r>
              <m:rPr>
                <m:sty m:val="p"/>
              </m:rPr>
              <m:t>,</m:t>
            </m:r>
            <m:r>
              <m:t>y</m:t>
            </m:r>
            <m:r>
              <m:rPr>
                <m:sty m:val="p"/>
              </m:rPr>
              <m:t>,</m:t>
            </m:r>
            <m:r>
              <m:t>z</m:t>
            </m:r>
            <m:r>
              <m:rPr>
                <m:sty m:val="p"/>
              </m:rPr>
              <m:t>,</m:t>
            </m:r>
            <m:r>
              <m:t>w</m:t>
            </m:r>
          </m:e>
        </m:d>
      </m:oMath>
      <w:r>
        <w:t xml:space="preserve"> </w:t>
      </w:r>
      <w:r>
        <w:t xml:space="preserve">顺序存储四元数。名义状态为</w:t>
      </w:r>
    </w:p>
    <w:p>
      <w:pPr>
        <w:pStyle w:val="BodyText"/>
      </w:pPr>
      <m:oMathPara>
        <m:oMathParaPr>
          <m:jc m:val="center"/>
        </m:oMathParaPr>
        <m:oMath>
          <m:r>
            <m:t>x</m:t>
          </m:r>
          <m:r>
            <m:rPr>
              <m:sty m:val="p"/>
            </m:rPr>
            <m:t>=</m:t>
          </m:r>
          <m:d>
            <m:dPr>
              <m:begChr m:val="("/>
              <m:endChr m:val=")"/>
              <m:sepChr m:val=""/>
              <m:grow/>
            </m:dPr>
            <m:e>
              <m:r>
                <m:t>p</m:t>
              </m:r>
              <m:r>
                <m:rPr>
                  <m:sty m:val="p"/>
                </m:rPr>
                <m:t>,</m:t>
              </m:r>
              <m:r>
                <m:t>v</m:t>
              </m:r>
              <m:r>
                <m:rPr>
                  <m:sty m:val="p"/>
                </m:rPr>
                <m:t>,</m:t>
              </m:r>
              <m:r>
                <m:t>q</m:t>
              </m:r>
              <m:r>
                <m:rPr>
                  <m:sty m:val="p"/>
                </m:rPr>
                <m:t>,</m:t>
              </m:r>
              <m:sSub>
                <m:e>
                  <m:r>
                    <m:t>b</m:t>
                  </m:r>
                </m:e>
                <m:sub>
                  <m:r>
                    <m:t>a</m:t>
                  </m:r>
                </m:sub>
              </m:sSub>
              <m:r>
                <m:rPr>
                  <m:sty m:val="p"/>
                </m:rPr>
                <m:t>,</m:t>
              </m:r>
              <m:sSub>
                <m:e>
                  <m:r>
                    <m:t>b</m:t>
                  </m:r>
                </m:e>
                <m:sub>
                  <m:r>
                    <m:t>g</m:t>
                  </m:r>
                </m:sub>
              </m:sSub>
            </m:e>
          </m:d>
          <m:r>
            <m:rPr>
              <m:sty m:val="p"/>
            </m:rPr>
            <m:t>,</m:t>
          </m:r>
        </m:oMath>
      </m:oMathPara>
    </w:p>
    <w:p>
      <w:pPr>
        <w:pStyle w:val="FirstParagraph"/>
      </w:pPr>
      <w:r>
        <w:t xml:space="preserve">其中</w:t>
      </w:r>
      <w:r>
        <w:t xml:space="preserve"> </w:t>
      </w:r>
      <m:oMath>
        <m:sSub>
          <m:e>
            <m:r>
              <m:t>b</m:t>
            </m:r>
          </m:e>
          <m:sub>
            <m:r>
              <m:t>a</m:t>
            </m:r>
          </m:sub>
        </m:sSub>
      </m:oMath>
      <w:r>
        <w:t xml:space="preserve">、</w:t>
      </w:r>
      <m:oMath>
        <m:sSub>
          <m:e>
            <m:r>
              <m:t>b</m:t>
            </m:r>
          </m:e>
          <m:sub>
            <m:r>
              <m:t>g</m:t>
            </m:r>
          </m:sub>
        </m:sSub>
      </m:oMath>
      <w:r>
        <w:t xml:space="preserve"> </w:t>
      </w:r>
      <w:r>
        <w:t xml:space="preserve">分别是机体系中的加速度计和陀螺仪零偏。15 维误差状态为</w:t>
      </w:r>
    </w:p>
    <w:p>
      <w:pPr>
        <w:pStyle w:val="BodyText"/>
      </w:pPr>
      <m:oMathPara>
        <m:oMathParaPr>
          <m:jc m:val="center"/>
        </m:oMathParaPr>
        <m:oMath>
          <m:r>
            <m:t>δ</m:t>
          </m:r>
          <m:r>
            <m:t>x</m:t>
          </m:r>
          <m:r>
            <m:rPr>
              <m:sty m:val="p"/>
            </m:rPr>
            <m:t>=</m:t>
          </m:r>
          <m:sSup>
            <m:e>
              <m:d>
                <m:dPr>
                  <m:begChr m:val="["/>
                  <m:endChr m:val="]"/>
                  <m:sepChr m:val=""/>
                  <m:grow/>
                </m:dPr>
                <m:e>
                  <m:r>
                    <m:t>δ</m:t>
                  </m:r>
                  <m:sSup>
                    <m:e>
                      <m:r>
                        <m:t>p</m:t>
                      </m:r>
                    </m:e>
                    <m:sup>
                      <m:r>
                        <m:t>T</m:t>
                      </m:r>
                    </m:sup>
                  </m:sSup>
                  <m:r>
                    <m:rPr>
                      <m:sty m:val="p"/>
                    </m:rPr>
                    <m:t>,</m:t>
                  </m:r>
                  <m:r>
                    <m:t>δ</m:t>
                  </m:r>
                  <m:sSup>
                    <m:e>
                      <m:r>
                        <m:t>v</m:t>
                      </m:r>
                    </m:e>
                    <m:sup>
                      <m:r>
                        <m:t>T</m:t>
                      </m:r>
                    </m:sup>
                  </m:sSup>
                  <m:r>
                    <m:rPr>
                      <m:sty m:val="p"/>
                    </m:rPr>
                    <m:t>,</m:t>
                  </m:r>
                  <m:r>
                    <m:t>δ</m:t>
                  </m:r>
                  <m:sSup>
                    <m:e>
                      <m:r>
                        <m:t>θ</m:t>
                      </m:r>
                    </m:e>
                    <m:sup>
                      <m:r>
                        <m:t>T</m:t>
                      </m:r>
                    </m:sup>
                  </m:sSup>
                  <m:r>
                    <m:rPr>
                      <m:sty m:val="p"/>
                    </m:rPr>
                    <m:t>,</m:t>
                  </m:r>
                  <m:r>
                    <m:t>δ</m:t>
                  </m:r>
                  <m:sSubSup>
                    <m:e>
                      <m:r>
                        <m:t>b</m:t>
                      </m:r>
                    </m:e>
                    <m:sub>
                      <m:r>
                        <m:t>a</m:t>
                      </m:r>
                    </m:sub>
                    <m:sup>
                      <m:r>
                        <m:t>T</m:t>
                      </m:r>
                    </m:sup>
                  </m:sSubSup>
                  <m:r>
                    <m:rPr>
                      <m:sty m:val="p"/>
                    </m:rPr>
                    <m:t>,</m:t>
                  </m:r>
                  <m:r>
                    <m:t>δ</m:t>
                  </m:r>
                  <m:sSubSup>
                    <m:e>
                      <m:r>
                        <m:t>b</m:t>
                      </m:r>
                    </m:e>
                    <m:sub>
                      <m:r>
                        <m:t>g</m:t>
                      </m:r>
                    </m:sub>
                    <m:sup>
                      <m:r>
                        <m:t>T</m:t>
                      </m:r>
                    </m:sup>
                  </m:sSubSup>
                </m:e>
              </m:d>
            </m:e>
            <m:sup>
              <m:r>
                <m:t>T</m:t>
              </m:r>
            </m:sup>
          </m:sSup>
          <m:r>
            <m:rPr>
              <m:sty m:val="p"/>
            </m:rPr>
            <m:t>,</m:t>
          </m:r>
          <m:r>
            <m:t>  </m:t>
          </m:r>
          <m:sSub>
            <m:e>
              <m:r>
                <m:t>q</m:t>
              </m:r>
            </m:e>
            <m:sub>
              <m:r>
                <m:rPr>
                  <m:sty m:val="p"/>
                </m:rPr>
                <m:t>t</m:t>
              </m:r>
              <m:r>
                <m:rPr>
                  <m:sty m:val="p"/>
                </m:rPr>
                <m:t>r</m:t>
              </m:r>
              <m:r>
                <m:rPr>
                  <m:sty m:val="p"/>
                </m:rPr>
                <m:t>u</m:t>
              </m:r>
              <m:r>
                <m:rPr>
                  <m:sty m:val="p"/>
                </m:rPr>
                <m:t>e</m:t>
              </m:r>
            </m:sub>
          </m:sSub>
          <m:r>
            <m:rPr>
              <m:sty m:val="p"/>
            </m:rPr>
            <m:t>=</m:t>
          </m:r>
          <m:r>
            <m:t>q</m:t>
          </m:r>
          <m:r>
            <m:rPr>
              <m:sty m:val="p"/>
            </m:rPr>
            <m:t>⊗</m:t>
          </m:r>
          <m:r>
            <m:rPr>
              <m:sty m:val="p"/>
            </m:rPr>
            <m:t>Exp</m:t>
          </m:r>
          <m:d>
            <m:dPr>
              <m:begChr m:val="("/>
              <m:endChr m:val=")"/>
              <m:sepChr m:val=""/>
              <m:grow/>
            </m:dPr>
            <m:e>
              <m:r>
                <m:t>δ</m:t>
              </m:r>
              <m:r>
                <m:t>θ</m:t>
              </m:r>
            </m:e>
          </m:d>
          <m:r>
            <m:rPr>
              <m:sty m:val="p"/>
            </m:rPr>
            <m:t>.</m:t>
          </m:r>
        </m:oMath>
      </m:oMathPara>
    </w:p>
    <w:p>
      <w:pPr>
        <w:pStyle w:val="FirstParagraph"/>
      </w:pPr>
      <m:oMath>
        <m:r>
          <m:rPr>
            <m:sty m:val="p"/>
          </m:rPr>
          <m:t>Exp</m:t>
        </m:r>
      </m:oMath>
      <w:r>
        <w:t xml:space="preserve"> </w:t>
      </w:r>
      <w:r>
        <w:t xml:space="preserve">将旋转向量映射为单位四元数；</w:t>
      </w:r>
      <m:oMath>
        <m:sSub>
          <m:e>
            <m:d>
              <m:dPr>
                <m:begChr m:val="["/>
                <m:endChr m:val="]"/>
                <m:sepChr m:val=""/>
                <m:grow/>
              </m:dPr>
              <m:e>
                <m:r>
                  <m:t>u</m:t>
                </m:r>
              </m:e>
            </m:d>
          </m:e>
          <m:sub>
            <m:r>
              <m:rPr>
                <m:sty m:val="p"/>
              </m:rPr>
              <m:t>×</m:t>
            </m:r>
          </m:sub>
        </m:sSub>
      </m:oMath>
      <w:r>
        <w:t xml:space="preserve"> </w:t>
      </w:r>
      <w:r>
        <w:t xml:space="preserve">为满足</w:t>
      </w:r>
      <w:r>
        <w:t xml:space="preserve"> </w:t>
      </w:r>
      <m:oMath>
        <m:sSub>
          <m:e>
            <m:d>
              <m:dPr>
                <m:begChr m:val="["/>
                <m:endChr m:val="]"/>
                <m:sepChr m:val=""/>
                <m:grow/>
              </m:dPr>
              <m:e>
                <m:r>
                  <m:t>u</m:t>
                </m:r>
              </m:e>
            </m:d>
          </m:e>
          <m:sub>
            <m:r>
              <m:rPr>
                <m:sty m:val="p"/>
              </m:rPr>
              <m:t>×</m:t>
            </m:r>
          </m:sub>
        </m:sSub>
        <m:r>
          <m:t>w</m:t>
        </m:r>
        <m:r>
          <m:rPr>
            <m:sty m:val="p"/>
          </m:rPr>
          <m:t>=</m:t>
        </m:r>
        <m:r>
          <m:t>u</m:t>
        </m:r>
        <m:r>
          <m:rPr>
            <m:sty m:val="p"/>
          </m:rPr>
          <m:t>×</m:t>
        </m:r>
        <m:r>
          <m:t>w</m:t>
        </m:r>
      </m:oMath>
      <w:r>
        <w:t xml:space="preserve"> </w:t>
      </w:r>
      <w:r>
        <w:t xml:space="preserve">的反对称矩阵。仿真假定基站静止且位置已知、测量时刻同步、UWB 标签与 IMU 之间的杆臂为零。这些是建模假设，并非已完成的标定成果。</w:t>
      </w:r>
    </w:p>
    <w:bookmarkEnd w:id="23"/>
    <w:bookmarkStart w:id="24" w:name="惯性观测与递推"/>
    <w:p>
      <w:pPr>
        <w:pStyle w:val="Heading2"/>
      </w:pPr>
      <w:r>
        <w:t xml:space="preserve">3.2. 惯性观测与递推</w:t>
      </w:r>
    </w:p>
    <w:p>
      <w:pPr>
        <w:pStyle w:val="FirstParagraph"/>
      </w:pPr>
      <w:r>
        <w:t xml:space="preserve">IMU 输出机体系比力与角速度：</w:t>
      </w:r>
    </w:p>
    <w:p>
      <w:pPr>
        <w:pStyle w:val="BodyText"/>
      </w:pPr>
      <m:oMathPara>
        <m:oMathParaPr>
          <m:jc m:val="center"/>
        </m:oMathParaPr>
        <m:oMath>
          <m:sSub>
            <m:e>
              <m:r>
                <m:t>f</m:t>
              </m:r>
            </m:e>
            <m:sub>
              <m:r>
                <m:t>m</m:t>
              </m:r>
            </m:sub>
          </m:sSub>
          <m:r>
            <m:rPr>
              <m:sty m:val="p"/>
            </m:rPr>
            <m:t>=</m:t>
          </m:r>
          <m:r>
            <m:t>R</m:t>
          </m:r>
          <m:sSup>
            <m:e>
              <m:d>
                <m:dPr>
                  <m:begChr m:val="("/>
                  <m:endChr m:val=")"/>
                  <m:sepChr m:val=""/>
                  <m:grow/>
                </m:dPr>
                <m:e>
                  <m:r>
                    <m:t>q</m:t>
                  </m:r>
                </m:e>
              </m:d>
            </m:e>
            <m:sup>
              <m:r>
                <m:t>T</m:t>
              </m:r>
            </m:sup>
          </m:sSup>
          <m:d>
            <m:dPr>
              <m:begChr m:val="("/>
              <m:endChr m:val=")"/>
              <m:sepChr m:val=""/>
              <m:grow/>
            </m:dPr>
            <m:e>
              <m:acc>
                <m:accPr>
                  <m:chr m:val="̈"/>
                </m:accPr>
                <m:e>
                  <m:r>
                    <m:t>p</m:t>
                  </m:r>
                </m:e>
              </m:acc>
              <m:r>
                <m:rPr>
                  <m:sty m:val="p"/>
                </m:rPr>
                <m:t>−</m:t>
              </m:r>
              <m:r>
                <m:t>g</m:t>
              </m:r>
            </m:e>
          </m:d>
          <m:r>
            <m:rPr>
              <m:sty m:val="p"/>
            </m:rPr>
            <m:t>+</m:t>
          </m:r>
          <m:sSub>
            <m:e>
              <m:r>
                <m:t>b</m:t>
              </m:r>
            </m:e>
            <m:sub>
              <m:r>
                <m:t>a</m:t>
              </m:r>
            </m:sub>
          </m:sSub>
          <m:r>
            <m:rPr>
              <m:sty m:val="p"/>
            </m:rPr>
            <m:t>+</m:t>
          </m:r>
          <m:sSub>
            <m:e>
              <m:r>
                <m:t>n</m:t>
              </m:r>
            </m:e>
            <m:sub>
              <m:r>
                <m:t>a</m:t>
              </m:r>
            </m:sub>
          </m:sSub>
          <m:r>
            <m:rPr>
              <m:sty m:val="p"/>
            </m:rPr>
            <m:t>,</m:t>
          </m:r>
          <m:r>
            <m:t>  </m:t>
          </m:r>
          <m:sSub>
            <m:e>
              <m:r>
                <m:t>ω</m:t>
              </m:r>
            </m:e>
            <m:sub>
              <m:r>
                <m:t>m</m:t>
              </m:r>
            </m:sub>
          </m:sSub>
          <m:r>
            <m:rPr>
              <m:sty m:val="p"/>
            </m:rPr>
            <m:t>=</m:t>
          </m:r>
          <m:r>
            <m:t>ω</m:t>
          </m:r>
          <m:r>
            <m:rPr>
              <m:sty m:val="p"/>
            </m:rPr>
            <m:t>+</m:t>
          </m:r>
          <m:sSub>
            <m:e>
              <m:r>
                <m:t>b</m:t>
              </m:r>
            </m:e>
            <m:sub>
              <m:r>
                <m:t>g</m:t>
              </m:r>
            </m:sub>
          </m:sSub>
          <m:r>
            <m:rPr>
              <m:sty m:val="p"/>
            </m:rPr>
            <m:t>+</m:t>
          </m:r>
          <m:sSub>
            <m:e>
              <m:r>
                <m:t>n</m:t>
              </m:r>
            </m:e>
            <m:sub>
              <m:r>
                <m:t>g</m:t>
              </m:r>
            </m:sub>
          </m:sSub>
          <m:r>
            <m:rPr>
              <m:sty m:val="p"/>
            </m:rPr>
            <m:t>.</m:t>
          </m:r>
        </m:oMath>
      </m:oMathPara>
    </w:p>
    <w:p>
      <w:pPr>
        <w:pStyle w:val="FirstParagraph"/>
      </w:pPr>
      <w:r>
        <w:t xml:space="preserve">仿真中的白噪声标准差是</w:t>
      </w:r>
      <w:r>
        <w:rPr>
          <w:b/>
          <w:bCs/>
        </w:rPr>
        <w:t xml:space="preserve">每采样点标准差</w:t>
      </w:r>
      <w:r>
        <w:t xml:space="preserve">，不是连续时间噪声密度。零偏增量服从按单位时间平方根给定标准差的随机游走。令</w:t>
      </w:r>
      <w:r>
        <w:t xml:space="preserve"> </w:t>
      </w:r>
      <m:oMath>
        <m:r>
          <m:t>f</m:t>
        </m:r>
        <m:r>
          <m:rPr>
            <m:sty m:val="p"/>
          </m:rPr>
          <m:t>=</m:t>
        </m:r>
        <m:sSub>
          <m:e>
            <m:r>
              <m:t>f</m:t>
            </m:r>
          </m:e>
          <m:sub>
            <m:r>
              <m:t>m</m:t>
            </m:r>
          </m:sub>
        </m:sSub>
        <m:r>
          <m:rPr>
            <m:sty m:val="p"/>
          </m:rPr>
          <m:t>−</m:t>
        </m:r>
        <m:sSub>
          <m:e>
            <m:r>
              <m:t>b</m:t>
            </m:r>
          </m:e>
          <m:sub>
            <m:r>
              <m:t>a</m:t>
            </m:r>
          </m:sub>
        </m:sSub>
      </m:oMath>
      <w:r>
        <w:t xml:space="preserve">、</w:t>
      </w:r>
      <m:oMath>
        <m:r>
          <m:t>ω</m:t>
        </m:r>
        <m:r>
          <m:rPr>
            <m:sty m:val="p"/>
          </m:rPr>
          <m:t>=</m:t>
        </m:r>
        <m:sSub>
          <m:e>
            <m:r>
              <m:t>ω</m:t>
            </m:r>
          </m:e>
          <m:sub>
            <m:r>
              <m:t>m</m:t>
            </m:r>
          </m:sub>
        </m:sSub>
        <m:r>
          <m:rPr>
            <m:sty m:val="p"/>
          </m:rPr>
          <m:t>−</m:t>
        </m:r>
        <m:sSub>
          <m:e>
            <m:r>
              <m:t>b</m:t>
            </m:r>
          </m:e>
          <m:sub>
            <m:r>
              <m:t>g</m:t>
            </m:r>
          </m:sub>
        </m:sSub>
      </m:oMath>
      <w:r>
        <w:t xml:space="preserve">，步长为</w:t>
      </w:r>
      <w:r>
        <w:t xml:space="preserve"> </w:t>
      </w:r>
      <m:oMath>
        <m:r>
          <m:t>Δ</m:t>
        </m:r>
        <m:r>
          <m:t>t</m:t>
        </m:r>
      </m:oMath>
      <w:r>
        <w:t xml:space="preserve">，名义状态使用中点姿态递推：</w:t>
      </w:r>
    </w:p>
    <w:p>
      <w:pPr>
        <w:pStyle w:val="BodyText"/>
      </w:pPr>
      <m:oMathPara>
        <m:oMathParaPr>
          <m:jc m:val="center"/>
        </m:oMathParaPr>
        <m:oMath>
          <m:sSub>
            <m:e>
              <m:r>
                <m:t>q</m:t>
              </m:r>
            </m:e>
            <m:sub>
              <m:r>
                <m:t>1</m:t>
              </m:r>
              <m:r>
                <m:rPr>
                  <m:sty m:val="p"/>
                </m:rPr>
                <m:t>/</m:t>
              </m:r>
              <m:r>
                <m:t>2</m:t>
              </m:r>
            </m:sub>
          </m:sSub>
          <m:r>
            <m:rPr>
              <m:sty m:val="p"/>
            </m:rPr>
            <m:t>=</m:t>
          </m:r>
          <m:sSub>
            <m:e>
              <m:r>
                <m:t>q</m:t>
              </m:r>
            </m:e>
            <m:sub>
              <m:r>
                <m:t>k</m:t>
              </m:r>
            </m:sub>
          </m:sSub>
          <m:r>
            <m:rPr>
              <m:sty m:val="p"/>
            </m:rPr>
            <m:t>⊗</m:t>
          </m:r>
          <m:r>
            <m:rPr>
              <m:sty m:val="p"/>
            </m:rPr>
            <m:t>Exp</m:t>
          </m:r>
          <m:d>
            <m:dPr>
              <m:begChr m:val="("/>
              <m:endChr m:val=")"/>
              <m:sepChr m:val=""/>
              <m:grow/>
            </m:dPr>
            <m:e>
              <m:r>
                <m:t>ω</m:t>
              </m:r>
              <m:r>
                <m:t>Δ</m:t>
              </m:r>
              <m:r>
                <m:t>t</m:t>
              </m:r>
              <m:r>
                <m:rPr>
                  <m:sty m:val="p"/>
                </m:rPr>
                <m:t>/</m:t>
              </m:r>
              <m:r>
                <m:t>2</m:t>
              </m:r>
            </m:e>
          </m:d>
          <m:r>
            <m:rPr>
              <m:sty m:val="p"/>
            </m:rPr>
            <m:t>,</m:t>
          </m:r>
          <m:r>
            <m:t>  </m:t>
          </m:r>
          <m:sSup>
            <m:e>
              <m:r>
                <m:t>a</m:t>
              </m:r>
            </m:e>
            <m:sup>
              <m:r>
                <m:t>w</m:t>
              </m:r>
            </m:sup>
          </m:sSup>
          <m:r>
            <m:rPr>
              <m:sty m:val="p"/>
            </m:rPr>
            <m:t>=</m:t>
          </m:r>
          <m:r>
            <m:t>R</m:t>
          </m:r>
          <m:d>
            <m:dPr>
              <m:begChr m:val="("/>
              <m:endChr m:val=")"/>
              <m:sepChr m:val=""/>
              <m:grow/>
            </m:dPr>
            <m:e>
              <m:sSub>
                <m:e>
                  <m:r>
                    <m:t>q</m:t>
                  </m:r>
                </m:e>
                <m:sub>
                  <m:r>
                    <m:t>1</m:t>
                  </m:r>
                  <m:r>
                    <m:rPr>
                      <m:sty m:val="p"/>
                    </m:rPr>
                    <m:t>/</m:t>
                  </m:r>
                  <m:r>
                    <m:t>2</m:t>
                  </m:r>
                </m:sub>
              </m:sSub>
            </m:e>
          </m:d>
          <m:r>
            <m:t>f</m:t>
          </m:r>
          <m:r>
            <m:rPr>
              <m:sty m:val="p"/>
            </m:rPr>
            <m:t>+</m:t>
          </m:r>
          <m:r>
            <m:t>g</m:t>
          </m:r>
          <m:r>
            <m:rPr>
              <m:sty m:val="p"/>
            </m:rPr>
            <m:t>,</m:t>
          </m:r>
        </m:oMath>
      </m:oMathPara>
    </w:p>
    <w:p>
      <w:pPr>
        <w:pStyle w:val="FirstParagraph"/>
      </w:pPr>
      <m:oMathPara>
        <m:oMathParaPr>
          <m:jc m:val="center"/>
        </m:oMathParaPr>
        <m:oMath>
          <m:sSub>
            <m:e>
              <m:r>
                <m:t>p</m:t>
              </m:r>
            </m:e>
            <m:sub>
              <m:r>
                <m:t>k</m:t>
              </m:r>
              <m:r>
                <m:rPr>
                  <m:sty m:val="p"/>
                </m:rPr>
                <m:t>+</m:t>
              </m:r>
              <m:r>
                <m:t>1</m:t>
              </m:r>
            </m:sub>
          </m:sSub>
          <m:r>
            <m:rPr>
              <m:sty m:val="p"/>
            </m:rPr>
            <m:t>=</m:t>
          </m:r>
          <m:sSub>
            <m:e>
              <m:r>
                <m:t>p</m:t>
              </m:r>
            </m:e>
            <m:sub>
              <m:r>
                <m:t>k</m:t>
              </m:r>
            </m:sub>
          </m:sSub>
          <m:r>
            <m:rPr>
              <m:sty m:val="p"/>
            </m:rPr>
            <m:t>+</m:t>
          </m:r>
          <m:sSub>
            <m:e>
              <m:r>
                <m:t>v</m:t>
              </m:r>
            </m:e>
            <m:sub>
              <m:r>
                <m:t>k</m:t>
              </m:r>
            </m:sub>
          </m:sSub>
          <m:r>
            <m:t>Δ</m:t>
          </m:r>
          <m:r>
            <m:t>t</m:t>
          </m:r>
          <m:r>
            <m:rPr>
              <m:sty m:val="p"/>
            </m:rPr>
            <m:t>+</m:t>
          </m:r>
          <m:f>
            <m:fPr>
              <m:type m:val="lin"/>
            </m:fPr>
            <m:num>
              <m:r>
                <m:t>1</m:t>
              </m:r>
            </m:num>
            <m:den>
              <m:r>
                <m:t>2</m:t>
              </m:r>
            </m:den>
          </m:f>
          <m:sSup>
            <m:e>
              <m:r>
                <m:t>a</m:t>
              </m:r>
            </m:e>
            <m:sup>
              <m:r>
                <m:t>w</m:t>
              </m:r>
            </m:sup>
          </m:sSup>
          <m:r>
            <m:t>Δ</m:t>
          </m:r>
          <m:sSup>
            <m:e>
              <m:r>
                <m:t>t</m:t>
              </m:r>
            </m:e>
            <m:sup>
              <m:r>
                <m:t>2</m:t>
              </m:r>
            </m:sup>
          </m:sSup>
          <m:r>
            <m:rPr>
              <m:sty m:val="p"/>
            </m:rPr>
            <m:t>,</m:t>
          </m:r>
          <m:r>
            <m:t> </m:t>
          </m:r>
          <m:sSub>
            <m:e>
              <m:r>
                <m:t>v</m:t>
              </m:r>
            </m:e>
            <m:sub>
              <m:r>
                <m:t>k</m:t>
              </m:r>
              <m:r>
                <m:rPr>
                  <m:sty m:val="p"/>
                </m:rPr>
                <m:t>+</m:t>
              </m:r>
              <m:r>
                <m:t>1</m:t>
              </m:r>
            </m:sub>
          </m:sSub>
          <m:r>
            <m:rPr>
              <m:sty m:val="p"/>
            </m:rPr>
            <m:t>=</m:t>
          </m:r>
          <m:sSub>
            <m:e>
              <m:r>
                <m:t>v</m:t>
              </m:r>
            </m:e>
            <m:sub>
              <m:r>
                <m:t>k</m:t>
              </m:r>
            </m:sub>
          </m:sSub>
          <m:r>
            <m:rPr>
              <m:sty m:val="p"/>
            </m:rPr>
            <m:t>+</m:t>
          </m:r>
          <m:sSup>
            <m:e>
              <m:r>
                <m:t>a</m:t>
              </m:r>
            </m:e>
            <m:sup>
              <m:r>
                <m:t>w</m:t>
              </m:r>
            </m:sup>
          </m:sSup>
          <m:r>
            <m:t>Δ</m:t>
          </m:r>
          <m:r>
            <m:t>t</m:t>
          </m:r>
          <m:r>
            <m:rPr>
              <m:sty m:val="p"/>
            </m:rPr>
            <m:t>,</m:t>
          </m:r>
          <m:r>
            <m:t> </m:t>
          </m:r>
          <m:sSub>
            <m:e>
              <m:r>
                <m:t>q</m:t>
              </m:r>
            </m:e>
            <m:sub>
              <m:r>
                <m:t>k</m:t>
              </m:r>
              <m:r>
                <m:rPr>
                  <m:sty m:val="p"/>
                </m:rPr>
                <m:t>+</m:t>
              </m:r>
              <m:r>
                <m:t>1</m:t>
              </m:r>
            </m:sub>
          </m:sSub>
          <m:r>
            <m:rPr>
              <m:sty m:val="p"/>
            </m:rPr>
            <m:t>=</m:t>
          </m:r>
          <m:sSub>
            <m:e>
              <m:r>
                <m:t>q</m:t>
              </m:r>
            </m:e>
            <m:sub>
              <m:r>
                <m:t>k</m:t>
              </m:r>
            </m:sub>
          </m:sSub>
          <m:r>
            <m:rPr>
              <m:sty m:val="p"/>
            </m:rPr>
            <m:t>⊗</m:t>
          </m:r>
          <m:r>
            <m:rPr>
              <m:sty m:val="p"/>
            </m:rPr>
            <m:t>Exp</m:t>
          </m:r>
          <m:d>
            <m:dPr>
              <m:begChr m:val="("/>
              <m:endChr m:val=")"/>
              <m:sepChr m:val=""/>
              <m:grow/>
            </m:dPr>
            <m:e>
              <m:r>
                <m:t>ω</m:t>
              </m:r>
              <m:r>
                <m:t>Δ</m:t>
              </m:r>
              <m:r>
                <m:t>t</m:t>
              </m:r>
            </m:e>
          </m:d>
          <m:r>
            <m:rPr>
              <m:sty m:val="p"/>
            </m:rPr>
            <m:t>.</m:t>
          </m:r>
        </m:oMath>
      </m:oMathPara>
    </w:p>
    <w:p>
      <w:pPr>
        <w:pStyle w:val="FirstParagraph"/>
      </w:pPr>
      <w:r>
        <w:t xml:space="preserve">名义零偏在预测时保持不变，在测量更新中校正。令</w:t>
      </w:r>
      <w:r>
        <w:t xml:space="preserve"> </w:t>
      </w:r>
      <m:oMath>
        <m:r>
          <m:t>R</m:t>
        </m:r>
        <m:r>
          <m:rPr>
            <m:sty m:val="p"/>
          </m:rPr>
          <m:t>=</m:t>
        </m:r>
        <m:r>
          <m:t>R</m:t>
        </m:r>
        <m:d>
          <m:dPr>
            <m:begChr m:val="("/>
            <m:endChr m:val=")"/>
            <m:sepChr m:val=""/>
            <m:grow/>
          </m:dPr>
          <m:e>
            <m:sSub>
              <m:e>
                <m:r>
                  <m:t>q</m:t>
                </m:r>
              </m:e>
              <m:sub>
                <m:r>
                  <m:t>1</m:t>
                </m:r>
                <m:r>
                  <m:rPr>
                    <m:sty m:val="p"/>
                  </m:rPr>
                  <m:t>/</m:t>
                </m:r>
                <m:r>
                  <m:t>2</m:t>
                </m:r>
              </m:sub>
            </m:sSub>
          </m:e>
        </m:d>
      </m:oMath>
      <w:r>
        <w:t xml:space="preserve">，实现使用的局部连续时间误差矩阵为</w:t>
      </w:r>
    </w:p>
    <w:p>
      <w:pPr>
        <w:pStyle w:val="BodyText"/>
      </w:pPr>
      <m:oMathPara>
        <m:oMathParaPr>
          <m:jc m:val="center"/>
        </m:oMathParaPr>
        <m:oMath>
          <m:r>
            <m:t>F</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I</m:t>
                    </m:r>
                  </m:e>
                  <m:e>
                    <m:r>
                      <m:t>0</m:t>
                    </m:r>
                  </m:e>
                  <m:e>
                    <m:r>
                      <m:t>0</m:t>
                    </m:r>
                  </m:e>
                  <m:e>
                    <m:r>
                      <m:t>0</m:t>
                    </m:r>
                  </m:e>
                </m:mr>
                <m:mr>
                  <m:e>
                    <m:r>
                      <m:t>0</m:t>
                    </m:r>
                  </m:e>
                  <m:e>
                    <m:r>
                      <m:t>0</m:t>
                    </m:r>
                  </m:e>
                  <m:e>
                    <m:r>
                      <m:rPr>
                        <m:sty m:val="p"/>
                      </m:rPr>
                      <m:t>−</m:t>
                    </m:r>
                    <m:r>
                      <m:t>R</m:t>
                    </m:r>
                    <m:sSub>
                      <m:e>
                        <m:d>
                          <m:dPr>
                            <m:begChr m:val="["/>
                            <m:endChr m:val="]"/>
                            <m:sepChr m:val=""/>
                            <m:grow/>
                          </m:dPr>
                          <m:e>
                            <m:r>
                              <m:t>f</m:t>
                            </m:r>
                          </m:e>
                        </m:d>
                      </m:e>
                      <m:sub>
                        <m:r>
                          <m:rPr>
                            <m:sty m:val="p"/>
                          </m:rPr>
                          <m:t>×</m:t>
                        </m:r>
                      </m:sub>
                    </m:sSub>
                  </m:e>
                  <m:e>
                    <m:r>
                      <m:rPr>
                        <m:sty m:val="p"/>
                      </m:rPr>
                      <m:t>−</m:t>
                    </m:r>
                    <m:r>
                      <m:t>R</m:t>
                    </m:r>
                  </m:e>
                  <m:e>
                    <m:r>
                      <m:t>0</m:t>
                    </m:r>
                  </m:e>
                </m:mr>
                <m:mr>
                  <m:e>
                    <m:r>
                      <m:t>0</m:t>
                    </m:r>
                  </m:e>
                  <m:e>
                    <m:r>
                      <m:t>0</m:t>
                    </m:r>
                  </m:e>
                  <m:e>
                    <m:r>
                      <m:rPr>
                        <m:sty m:val="p"/>
                      </m:rPr>
                      <m:t>−</m:t>
                    </m:r>
                    <m:sSub>
                      <m:e>
                        <m:d>
                          <m:dPr>
                            <m:begChr m:val="["/>
                            <m:endChr m:val="]"/>
                            <m:sepChr m:val=""/>
                            <m:grow/>
                          </m:dPr>
                          <m:e>
                            <m:r>
                              <m:t>ω</m:t>
                            </m:r>
                          </m:e>
                        </m:d>
                      </m:e>
                      <m:sub>
                        <m:r>
                          <m:rPr>
                            <m:sty m:val="p"/>
                          </m:rPr>
                          <m:t>×</m:t>
                        </m:r>
                      </m:sub>
                    </m:sSub>
                  </m:e>
                  <m:e>
                    <m:r>
                      <m:t>0</m:t>
                    </m:r>
                  </m:e>
                  <m:e>
                    <m:r>
                      <m:rPr>
                        <m:sty m:val="p"/>
                      </m:rPr>
                      <m:t>−</m:t>
                    </m:r>
                    <m:r>
                      <m:t>I</m:t>
                    </m:r>
                  </m:e>
                </m:mr>
                <m:mr>
                  <m:e>
                    <m:r>
                      <m:t>0</m:t>
                    </m:r>
                  </m:e>
                  <m:e>
                    <m:r>
                      <m:t>0</m:t>
                    </m:r>
                  </m:e>
                  <m:e>
                    <m:r>
                      <m:t>0</m:t>
                    </m:r>
                  </m:e>
                  <m:e>
                    <m:r>
                      <m:t>0</m:t>
                    </m:r>
                  </m:e>
                  <m:e>
                    <m:r>
                      <m:t>0</m:t>
                    </m:r>
                  </m:e>
                </m:mr>
                <m:mr>
                  <m:e>
                    <m:r>
                      <m:t>0</m:t>
                    </m:r>
                  </m:e>
                  <m:e>
                    <m:r>
                      <m:t>0</m:t>
                    </m:r>
                  </m:e>
                  <m:e>
                    <m:r>
                      <m:t>0</m:t>
                    </m:r>
                  </m:e>
                  <m:e>
                    <m:r>
                      <m:t>0</m:t>
                    </m:r>
                  </m:e>
                  <m:e>
                    <m:r>
                      <m:t>0</m:t>
                    </m:r>
                  </m:e>
                </m:mr>
              </m:m>
            </m:e>
          </m:d>
          <m:r>
            <m:rPr>
              <m:sty m:val="p"/>
            </m:rPr>
            <m:t>,</m:t>
          </m:r>
          <m:r>
            <m:t>  </m:t>
          </m:r>
          <m:r>
            <m:t>Φ</m:t>
          </m:r>
          <m:r>
            <m:rPr>
              <m:sty m:val="p"/>
            </m:rPr>
            <m:t>=</m:t>
          </m:r>
          <m:r>
            <m:t>I</m:t>
          </m:r>
          <m:r>
            <m:rPr>
              <m:sty m:val="p"/>
            </m:rPr>
            <m:t>+</m:t>
          </m:r>
          <m:r>
            <m:t>F</m:t>
          </m:r>
          <m:r>
            <m:t>Δ</m:t>
          </m:r>
          <m:r>
            <m:t>t</m:t>
          </m:r>
          <m:r>
            <m:rPr>
              <m:sty m:val="p"/>
            </m:rPr>
            <m:t>+</m:t>
          </m:r>
          <m:f>
            <m:fPr>
              <m:type m:val="lin"/>
            </m:fPr>
            <m:num>
              <m:r>
                <m:t>1</m:t>
              </m:r>
            </m:num>
            <m:den>
              <m:r>
                <m:t>2</m:t>
              </m:r>
            </m:den>
          </m:f>
          <m:sSup>
            <m:e>
              <m:r>
                <m:t>F</m:t>
              </m:r>
            </m:e>
            <m:sup>
              <m:r>
                <m:t>2</m:t>
              </m:r>
            </m:sup>
          </m:sSup>
          <m:r>
            <m:t>Δ</m:t>
          </m:r>
          <m:sSup>
            <m:e>
              <m:r>
                <m:t>t</m:t>
              </m:r>
            </m:e>
            <m:sup>
              <m:r>
                <m:t>2</m:t>
              </m:r>
            </m:sup>
          </m:sSup>
          <m:r>
            <m:rPr>
              <m:sty m:val="p"/>
            </m:rPr>
            <m:t>.</m:t>
          </m:r>
        </m:oMath>
      </m:oMathPara>
    </w:p>
    <w:p>
      <w:pPr>
        <w:pStyle w:val="FirstParagraph"/>
      </w:pPr>
      <w:r>
        <w:t xml:space="preserve">对于每采样点加速度与角速度噪声，以及零偏随机游走幅度，定义</w:t>
      </w:r>
    </w:p>
    <w:p>
      <w:pPr>
        <w:pStyle w:val="BodyText"/>
      </w:pPr>
      <m:oMathPara>
        <m:oMathParaPr>
          <m:jc m:val="center"/>
        </m:oMathParaPr>
        <m:oMath>
          <m:r>
            <m:t>D</m:t>
          </m:r>
          <m:r>
            <m:rPr>
              <m:sty m:val="p"/>
            </m:rPr>
            <m:t>=</m:t>
          </m:r>
          <m:r>
            <m:rPr>
              <m:sty m:val="p"/>
            </m:rPr>
            <m:t>diag</m:t>
          </m:r>
          <m:d>
            <m:dPr>
              <m:begChr m:val="("/>
              <m:endChr m:val=")"/>
              <m:sepChr m:val=""/>
              <m:grow/>
            </m:dPr>
            <m:e>
              <m:sSubSup>
                <m:e>
                  <m:r>
                    <m:t>σ</m:t>
                  </m:r>
                </m:e>
                <m:sub>
                  <m:r>
                    <m:t>a</m:t>
                  </m:r>
                </m:sub>
                <m:sup>
                  <m:r>
                    <m:t>2</m:t>
                  </m:r>
                </m:sup>
              </m:sSubSup>
              <m:r>
                <m:t>I</m:t>
              </m:r>
              <m:r>
                <m:rPr>
                  <m:sty m:val="p"/>
                </m:rPr>
                <m:t>,</m:t>
              </m:r>
              <m:sSubSup>
                <m:e>
                  <m:r>
                    <m:t>σ</m:t>
                  </m:r>
                </m:e>
                <m:sub>
                  <m:r>
                    <m:t>g</m:t>
                  </m:r>
                </m:sub>
                <m:sup>
                  <m:r>
                    <m:t>2</m:t>
                  </m:r>
                </m:sup>
              </m:sSubSup>
              <m:r>
                <m:t>I</m:t>
              </m:r>
              <m:r>
                <m:rPr>
                  <m:sty m:val="p"/>
                </m:rPr>
                <m:t>,</m:t>
              </m:r>
              <m:sSubSup>
                <m:e>
                  <m:r>
                    <m:t>σ</m:t>
                  </m:r>
                </m:e>
                <m:sub>
                  <m:r>
                    <m:t>b</m:t>
                  </m:r>
                  <m:r>
                    <m:t>a</m:t>
                  </m:r>
                </m:sub>
                <m:sup>
                  <m:r>
                    <m:t>2</m:t>
                  </m:r>
                </m:sup>
              </m:sSubSup>
              <m:r>
                <m:t>I</m:t>
              </m:r>
              <m:r>
                <m:rPr>
                  <m:sty m:val="p"/>
                </m:rPr>
                <m:t>,</m:t>
              </m:r>
              <m:sSubSup>
                <m:e>
                  <m:r>
                    <m:t>σ</m:t>
                  </m:r>
                </m:e>
                <m:sub>
                  <m:r>
                    <m:t>b</m:t>
                  </m:r>
                  <m:r>
                    <m:t>g</m:t>
                  </m:r>
                </m:sub>
                <m:sup>
                  <m:r>
                    <m:t>2</m:t>
                  </m:r>
                </m:sup>
              </m:sSubSup>
              <m:r>
                <m:t>I</m:t>
              </m:r>
            </m:e>
          </m:d>
          <m:r>
            <m:rPr>
              <m:sty m:val="p"/>
            </m:rPr>
            <m:t>,</m:t>
          </m:r>
          <m:r>
            <m:t> </m:t>
          </m:r>
          <m:sSub>
            <m:e>
              <m:r>
                <m:t>G</m:t>
              </m:r>
            </m:e>
            <m:sub>
              <m:r>
                <m:t>d</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lin"/>
                      </m:fPr>
                      <m:num>
                        <m:r>
                          <m:t>1</m:t>
                        </m:r>
                      </m:num>
                      <m:den>
                        <m:r>
                          <m:t>2</m:t>
                        </m:r>
                      </m:den>
                    </m:f>
                    <m:r>
                      <m:t>R</m:t>
                    </m:r>
                    <m:r>
                      <m:t>Δ</m:t>
                    </m:r>
                    <m:sSup>
                      <m:e>
                        <m:r>
                          <m:t>t</m:t>
                        </m:r>
                      </m:e>
                      <m:sup>
                        <m:r>
                          <m:t>2</m:t>
                        </m:r>
                      </m:sup>
                    </m:sSup>
                  </m:e>
                  <m:e>
                    <m:r>
                      <m:t>0</m:t>
                    </m:r>
                  </m:e>
                  <m:e>
                    <m:r>
                      <m:t>0</m:t>
                    </m:r>
                  </m:e>
                  <m:e>
                    <m:r>
                      <m:t>0</m:t>
                    </m:r>
                  </m:e>
                </m:mr>
                <m:mr>
                  <m:e>
                    <m:r>
                      <m:t>R</m:t>
                    </m:r>
                    <m:r>
                      <m:t>Δ</m:t>
                    </m:r>
                    <m:r>
                      <m:t>t</m:t>
                    </m:r>
                  </m:e>
                  <m:e>
                    <m:r>
                      <m:t>0</m:t>
                    </m:r>
                  </m:e>
                  <m:e>
                    <m:r>
                      <m:t>0</m:t>
                    </m:r>
                  </m:e>
                  <m:e>
                    <m:r>
                      <m:t>0</m:t>
                    </m:r>
                  </m:e>
                </m:mr>
                <m:mr>
                  <m:e>
                    <m:r>
                      <m:t>0</m:t>
                    </m:r>
                  </m:e>
                  <m:e>
                    <m:r>
                      <m:t>I</m:t>
                    </m:r>
                    <m:r>
                      <m:t>Δ</m:t>
                    </m:r>
                    <m:r>
                      <m:t>t</m:t>
                    </m:r>
                  </m:e>
                  <m:e>
                    <m:r>
                      <m:t>0</m:t>
                    </m:r>
                  </m:e>
                  <m:e>
                    <m:r>
                      <m:t>0</m:t>
                    </m:r>
                  </m:e>
                </m:mr>
                <m:mr>
                  <m:e>
                    <m:r>
                      <m:t>0</m:t>
                    </m:r>
                  </m:e>
                  <m:e>
                    <m:r>
                      <m:t>0</m:t>
                    </m:r>
                  </m:e>
                  <m:e>
                    <m:r>
                      <m:t>I</m:t>
                    </m:r>
                    <m:rad>
                      <m:radPr>
                        <m:degHide m:val="on"/>
                      </m:radPr>
                      <m:deg/>
                      <m:e>
                        <m:r>
                          <m:t>Δ</m:t>
                        </m:r>
                        <m:r>
                          <m:t>t</m:t>
                        </m:r>
                      </m:e>
                    </m:rad>
                  </m:e>
                  <m:e>
                    <m:r>
                      <m:t>0</m:t>
                    </m:r>
                  </m:e>
                </m:mr>
                <m:mr>
                  <m:e>
                    <m:r>
                      <m:t>0</m:t>
                    </m:r>
                  </m:e>
                  <m:e>
                    <m:r>
                      <m:t>0</m:t>
                    </m:r>
                  </m:e>
                  <m:e>
                    <m:r>
                      <m:t>0</m:t>
                    </m:r>
                  </m:e>
                  <m:e>
                    <m:r>
                      <m:t>I</m:t>
                    </m:r>
                    <m:rad>
                      <m:radPr>
                        <m:degHide m:val="on"/>
                      </m:radPr>
                      <m:deg/>
                      <m:e>
                        <m:r>
                          <m:t>Δ</m:t>
                        </m:r>
                        <m:r>
                          <m:t>t</m:t>
                        </m:r>
                      </m:e>
                    </m:rad>
                  </m:e>
                </m:mr>
              </m:m>
            </m:e>
          </m:d>
          <m:r>
            <m:rPr>
              <m:sty m:val="p"/>
            </m:rPr>
            <m:t>.</m:t>
          </m:r>
        </m:oMath>
      </m:oMathPara>
    </w:p>
    <w:p>
      <w:pPr>
        <w:pStyle w:val="FirstParagraph"/>
      </w:pPr>
      <w:r>
        <w:t xml:space="preserve">预测协方差为</w:t>
      </w:r>
      <w:r>
        <w:t xml:space="preserve"> </w:t>
      </w:r>
      <m:oMath>
        <m:sSubSup>
          <m:e>
            <m:r>
              <m:t>P</m:t>
            </m:r>
          </m:e>
          <m:sub>
            <m:r>
              <m:t>k</m:t>
            </m:r>
            <m:r>
              <m:rPr>
                <m:sty m:val="p"/>
              </m:rPr>
              <m:t>+</m:t>
            </m:r>
            <m:r>
              <m:t>1</m:t>
            </m:r>
          </m:sub>
          <m:sup>
            <m:r>
              <m:rPr>
                <m:sty m:val="p"/>
              </m:rPr>
              <m:t>−</m:t>
            </m:r>
          </m:sup>
        </m:sSubSup>
        <m:r>
          <m:rPr>
            <m:sty m:val="p"/>
          </m:rPr>
          <m:t>=</m:t>
        </m:r>
        <m:r>
          <m:t>Φ</m:t>
        </m:r>
        <m:sSub>
          <m:e>
            <m:r>
              <m:t>P</m:t>
            </m:r>
          </m:e>
          <m:sub>
            <m:r>
              <m:t>k</m:t>
            </m:r>
          </m:sub>
        </m:sSub>
        <m:sSup>
          <m:e>
            <m:r>
              <m:t>Φ</m:t>
            </m:r>
          </m:e>
          <m:sup>
            <m:r>
              <m:t>T</m:t>
            </m:r>
          </m:sup>
        </m:sSup>
        <m:r>
          <m:rPr>
            <m:sty m:val="p"/>
          </m:rPr>
          <m:t>+</m:t>
        </m:r>
        <m:sSub>
          <m:e>
            <m:r>
              <m:t>G</m:t>
            </m:r>
          </m:e>
          <m:sub>
            <m:r>
              <m:t>d</m:t>
            </m:r>
          </m:sub>
        </m:sSub>
        <m:r>
          <m:t>D</m:t>
        </m:r>
        <m:sSubSup>
          <m:e>
            <m:r>
              <m:t>G</m:t>
            </m:r>
          </m:e>
          <m:sub>
            <m:r>
              <m:t>d</m:t>
            </m:r>
          </m:sub>
          <m:sup>
            <m:r>
              <m:t>T</m:t>
            </m:r>
          </m:sup>
        </m:sSubSup>
      </m:oMath>
      <w:r>
        <w:t xml:space="preserve">。这是明确规定的有限步长近似，并非所有耦合连续时间噪声项的精确离散化。采样率敏感性及更高阶传播有待后续评估。</w:t>
      </w:r>
    </w:p>
    <w:bookmarkEnd w:id="24"/>
    <w:bookmarkStart w:id="25" w:name="uwb-观测"/>
    <w:p>
      <w:pPr>
        <w:pStyle w:val="Heading2"/>
      </w:pPr>
      <w:r>
        <w:t xml:space="preserve">3.3. UWB 观测</w:t>
      </w:r>
    </w:p>
    <w:p>
      <w:pPr>
        <w:pStyle w:val="FirstParagraph"/>
      </w:pPr>
      <w:r>
        <w:t xml:space="preserve">对位置为</w:t>
      </w:r>
      <w:r>
        <w:t xml:space="preserve"> </w:t>
      </w:r>
      <m:oMath>
        <m:sSub>
          <m:e>
            <m:r>
              <m:t>a</m:t>
            </m:r>
          </m:e>
          <m:sub>
            <m:r>
              <m:t>i</m:t>
            </m:r>
          </m:sub>
        </m:sSub>
      </m:oMath>
      <w:r>
        <w:t xml:space="preserve"> </w:t>
      </w:r>
      <w:r>
        <w:t xml:space="preserve">的基站，仿真观测为</w:t>
      </w:r>
    </w:p>
    <w:p>
      <w:pPr>
        <w:pStyle w:val="BodyText"/>
      </w:pPr>
      <m:oMathPara>
        <m:oMathParaPr>
          <m:jc m:val="center"/>
        </m:oMathParaPr>
        <m:oMath>
          <m:sSub>
            <m:e>
              <m:r>
                <m:t>z</m:t>
              </m:r>
            </m:e>
            <m:sub>
              <m:r>
                <m:t>i</m:t>
              </m:r>
            </m:sub>
          </m:sSub>
          <m:r>
            <m:rPr>
              <m:sty m:val="p"/>
            </m:rPr>
            <m:t>=</m:t>
          </m:r>
          <m:r>
            <m:rPr>
              <m:sty m:val="p"/>
            </m:rPr>
            <m:t>∥</m:t>
          </m:r>
          <m:r>
            <m:t>p</m:t>
          </m:r>
          <m:r>
            <m:rPr>
              <m:sty m:val="p"/>
            </m:rPr>
            <m:t>−</m:t>
          </m:r>
          <m:sSub>
            <m:e>
              <m:r>
                <m:t>a</m:t>
              </m:r>
            </m:e>
            <m:sub>
              <m:r>
                <m:t>i</m:t>
              </m:r>
            </m:sub>
          </m:sSub>
          <m:r>
            <m:rPr>
              <m:sty m:val="p"/>
            </m:rPr>
            <m:t>∥</m:t>
          </m:r>
          <m:r>
            <m:rPr>
              <m:sty m:val="p"/>
            </m:rPr>
            <m:t>+</m:t>
          </m:r>
          <m:sSub>
            <m:e>
              <m:r>
                <m:t>β</m:t>
              </m:r>
            </m:e>
            <m:sub>
              <m:r>
                <m:t>i</m:t>
              </m:r>
            </m:sub>
          </m:sSub>
          <m:r>
            <m:rPr>
              <m:sty m:val="p"/>
            </m:rPr>
            <m:t>+</m:t>
          </m:r>
          <m:sSub>
            <m:e>
              <m:r>
                <m:t>ϵ</m:t>
              </m:r>
            </m:e>
            <m:sub>
              <m:r>
                <m:t>i</m:t>
              </m:r>
            </m:sub>
          </m:sSub>
          <m:r>
            <m:rPr>
              <m:sty m:val="p"/>
            </m:rPr>
            <m:t>,</m:t>
          </m:r>
          <m:r>
            <m:t>  </m:t>
          </m:r>
          <m:sSub>
            <m:e>
              <m:r>
                <m:t>ϵ</m:t>
              </m:r>
            </m:e>
            <m:sub>
              <m:r>
                <m:t>i</m:t>
              </m:r>
            </m:sub>
          </m:sSub>
          <m:r>
            <m:rPr>
              <m:sty m:val="p"/>
            </m:rPr>
            <m:t>∼</m:t>
          </m:r>
          <m:r>
            <m:rPr>
              <m:sty m:val="p"/>
              <m:scr m:val="script"/>
            </m:rPr>
            <m:t>N</m:t>
          </m:r>
          <m:d>
            <m:dPr>
              <m:begChr m:val="("/>
              <m:endChr m:val=")"/>
              <m:sepChr m:val=""/>
              <m:grow/>
            </m:dPr>
            <m:e>
              <m:r>
                <m:t>0</m:t>
              </m:r>
              <m:r>
                <m:rPr>
                  <m:sty m:val="p"/>
                </m:rPr>
                <m:t>,</m:t>
              </m:r>
              <m:sSubSup>
                <m:e>
                  <m:r>
                    <m:t>σ</m:t>
                  </m:r>
                </m:e>
                <m:sub>
                  <m:r>
                    <m:t>r</m:t>
                  </m:r>
                </m:sub>
                <m:sup>
                  <m:r>
                    <m:t>2</m:t>
                  </m:r>
                </m:sup>
              </m:sSubSup>
            </m:e>
          </m:d>
          <m:r>
            <m:rPr>
              <m:sty m:val="p"/>
            </m:rPr>
            <m:t>.</m:t>
          </m:r>
        </m:oMath>
      </m:oMathPara>
    </w:p>
    <w:p>
      <w:pPr>
        <w:pStyle w:val="FirstParagraph"/>
      </w:pPr>
      <w:r>
        <w:t xml:space="preserve">合成偏差</w:t>
      </w:r>
      <w:r>
        <w:t xml:space="preserve"> </w:t>
      </w:r>
      <m:oMath>
        <m:sSub>
          <m:e>
            <m:r>
              <m:t>β</m:t>
            </m:r>
          </m:e>
          <m:sub>
            <m:r>
              <m:t>i</m:t>
            </m:r>
          </m:sub>
        </m:sSub>
      </m:oMath>
      <w:r>
        <w:t xml:space="preserve"> </w:t>
      </w:r>
      <w:r>
        <w:t xml:space="preserve">在视距条件下为零，在指定 NLOS 区间内为正。滤波器不能访问</w:t>
      </w:r>
      <w:r>
        <w:t xml:space="preserve"> </w:t>
      </w:r>
      <m:oMath>
        <m:sSub>
          <m:e>
            <m:r>
              <m:t>β</m:t>
            </m:r>
          </m:e>
          <m:sub>
            <m:r>
              <m:t>i</m:t>
            </m:r>
          </m:sub>
        </m:sSub>
      </m:oMath>
      <w:r>
        <w:t xml:space="preserve"> </w:t>
      </w:r>
      <w:r>
        <w:t xml:space="preserve">或 NLOS 标签，也不估计独立的 NLOS 偏差状态。其采用</w:t>
      </w:r>
      <w:r>
        <w:t xml:space="preserve"> </w:t>
      </w:r>
      <m:oMath>
        <m:sSub>
          <m:e>
            <m:r>
              <m:t>h</m:t>
            </m:r>
          </m:e>
          <m:sub>
            <m:r>
              <m:t>i</m:t>
            </m:r>
          </m:sub>
        </m:sSub>
        <m:d>
          <m:dPr>
            <m:begChr m:val="("/>
            <m:endChr m:val=")"/>
            <m:sepChr m:val=""/>
            <m:grow/>
          </m:dPr>
          <m:e>
            <m:r>
              <m:t>x</m:t>
            </m:r>
          </m:e>
        </m:d>
        <m:r>
          <m:rPr>
            <m:sty m:val="p"/>
          </m:rPr>
          <m:t>=</m:t>
        </m:r>
        <m:r>
          <m:rPr>
            <m:sty m:val="p"/>
          </m:rPr>
          <m:t>∥</m:t>
        </m:r>
        <m:r>
          <m:t>p</m:t>
        </m:r>
        <m:r>
          <m:rPr>
            <m:sty m:val="p"/>
          </m:rPr>
          <m:t>−</m:t>
        </m:r>
        <m:sSub>
          <m:e>
            <m:r>
              <m:t>a</m:t>
            </m:r>
          </m:e>
          <m:sub>
            <m:r>
              <m:t>i</m:t>
            </m:r>
          </m:sub>
        </m:sSub>
        <m:r>
          <m:rPr>
            <m:sty m:val="p"/>
          </m:rPr>
          <m:t>∥</m:t>
        </m:r>
      </m:oMath>
      <w:r>
        <w:t xml:space="preserve">，对应误差状态雅可比为</w:t>
      </w:r>
    </w:p>
    <w:p>
      <w:pPr>
        <w:pStyle w:val="BodyText"/>
      </w:pPr>
      <m:oMathPara>
        <m:oMathParaPr>
          <m:jc m:val="center"/>
        </m:oMathParaPr>
        <m:oMath>
          <m:sSub>
            <m:e>
              <m:r>
                <m:t>H</m:t>
              </m:r>
            </m:e>
            <m:sub>
              <m:r>
                <m:t>i</m:t>
              </m:r>
            </m:sub>
          </m:sSub>
          <m:r>
            <m:rPr>
              <m:sty m:val="p"/>
            </m:rPr>
            <m:t>=</m:t>
          </m:r>
          <m:d>
            <m:dPr>
              <m:begChr m:val="["/>
              <m:endChr m:val="]"/>
              <m:sepChr m:val=""/>
              <m:grow/>
            </m:dPr>
            <m:e>
              <m:f>
                <m:fPr>
                  <m:type m:val="bar"/>
                </m:fPr>
                <m:num>
                  <m:sSup>
                    <m:e>
                      <m:d>
                        <m:dPr>
                          <m:begChr m:val="("/>
                          <m:endChr m:val=")"/>
                          <m:sepChr m:val=""/>
                          <m:grow/>
                        </m:dPr>
                        <m:e>
                          <m:r>
                            <m:t>p</m:t>
                          </m:r>
                          <m:r>
                            <m:rPr>
                              <m:sty m:val="p"/>
                            </m:rPr>
                            <m:t>−</m:t>
                          </m:r>
                          <m:sSub>
                            <m:e>
                              <m:r>
                                <m:t>a</m:t>
                              </m:r>
                            </m:e>
                            <m:sub>
                              <m:r>
                                <m:t>i</m:t>
                              </m:r>
                            </m:sub>
                          </m:sSub>
                        </m:e>
                      </m:d>
                    </m:e>
                    <m:sup>
                      <m:r>
                        <m:t>T</m:t>
                      </m:r>
                    </m:sup>
                  </m:sSup>
                </m:num>
                <m:den>
                  <m:r>
                    <m:rPr>
                      <m:sty m:val="p"/>
                    </m:rPr>
                    <m:t>∥</m:t>
                  </m:r>
                  <m:r>
                    <m:t>p</m:t>
                  </m:r>
                  <m:r>
                    <m:rPr>
                      <m:sty m:val="p"/>
                    </m:rPr>
                    <m:t>−</m:t>
                  </m:r>
                  <m:sSub>
                    <m:e>
                      <m:r>
                        <m:t>a</m:t>
                      </m:r>
                    </m:e>
                    <m:sub>
                      <m:r>
                        <m:t>i</m:t>
                      </m:r>
                    </m:sub>
                  </m:sSub>
                  <m:r>
                    <m:rPr>
                      <m:sty m:val="p"/>
                    </m:rPr>
                    <m:t>∥</m:t>
                  </m:r>
                </m:den>
              </m:f>
              <m:r>
                <m:t> </m:t>
              </m:r>
              <m:r>
                <m:t>0</m:t>
              </m:r>
              <m:r>
                <m:t> </m:t>
              </m:r>
              <m:r>
                <m:t>0</m:t>
              </m:r>
              <m:r>
                <m:t> </m:t>
              </m:r>
              <m:r>
                <m:t>0</m:t>
              </m:r>
              <m:r>
                <m:t> </m:t>
              </m:r>
              <m:r>
                <m:t>0</m:t>
              </m:r>
            </m:e>
          </m:d>
          <m:r>
            <m:rPr>
              <m:sty m:val="p"/>
            </m:rPr>
            <m:t>.</m:t>
          </m:r>
        </m:oMath>
      </m:oMathPara>
    </w:p>
    <w:p>
      <w:pPr>
        <w:pStyle w:val="FirstParagraph"/>
      </w:pPr>
      <w:r>
        <w:t xml:space="preserve">零杆臂假设使直接姿态导数为零。非零杆臂会引入姿态依赖，必须修改观测模型。估计位置与基站重合时该雅可比无定义，不能在此进行有效更新。</w:t>
      </w:r>
    </w:p>
    <w:bookmarkEnd w:id="25"/>
    <w:bookmarkStart w:id="26" w:name="明确的热启动假设与可观测性"/>
    <w:p>
      <w:pPr>
        <w:pStyle w:val="Heading2"/>
      </w:pPr>
      <w:r>
        <w:t xml:space="preserve">3.4. 明确的热启动假设与可观测性</w:t>
      </w:r>
    </w:p>
    <w:p>
      <w:pPr>
        <w:pStyle w:val="FirstParagraph"/>
      </w:pPr>
      <w:r>
        <w:t xml:space="preserve">仿真使用真实初始位置、速度和姿态加上固定且公开的误差进行初始化。这是受控的</w:t>
      </w:r>
      <w:r>
        <w:rPr>
          <w:b/>
          <w:bCs/>
        </w:rPr>
        <w:t xml:space="preserve">热启动假设</w:t>
      </w:r>
      <w:r>
        <w:t xml:space="preserve">，不是可直接部署的初始化算法。估计器接收扰动后的初值，不接收后续真值或真实零偏；初始零偏估计为零。真实数据评估需要独立合理的初始化器与协方差设置，当前研究不能证明冷启动收敛。</w:t>
      </w:r>
    </w:p>
    <w:p>
      <w:pPr>
        <w:pStyle w:val="BodyText"/>
      </w:pPr>
      <w:r>
        <w:t xml:space="preserve">位置信息取决于基站几何。姿态和惯性零偏只能通过运动模型与位置更新受到间接约束，其可观测性取决于运动及初始条件。位置精度不能单独证明偏航角或零偏估计准确。UWB 完全丢失时，即使软件持续输出状态，也不存在外部位置约束。</w:t>
      </w:r>
    </w:p>
    <w:bookmarkEnd w:id="26"/>
    <w:bookmarkEnd w:id="27"/>
    <w:bookmarkStart w:id="31" w:name="新息驱动的测距处理"/>
    <w:p>
      <w:pPr>
        <w:pStyle w:val="Heading1"/>
      </w:pPr>
      <w:r>
        <w:t xml:space="preserve">4. 新息驱动的测距处理</w:t>
      </w:r>
    </w:p>
    <w:bookmarkStart w:id="28" w:name="检测与方差膨胀"/>
    <w:p>
      <w:pPr>
        <w:pStyle w:val="Heading2"/>
      </w:pPr>
      <w:r>
        <w:t xml:space="preserve">4.1. 检测与方差膨胀</w:t>
      </w:r>
    </w:p>
    <w:p>
      <w:pPr>
        <w:pStyle w:val="FirstParagraph"/>
      </w:pPr>
      <w:r>
        <w:t xml:space="preserve">测距按照固定基站顺序逐个进行标量更新，每个新息均使用该次序下当前可用的状态和协方差计算。基准方差为</w:t>
      </w:r>
      <w:r>
        <w:t xml:space="preserve"> </w:t>
      </w:r>
      <m:oMath>
        <m:sSub>
          <m:e>
            <m:r>
              <m:t>R</m:t>
            </m:r>
          </m:e>
          <m:sub>
            <m:r>
              <m:t>0</m:t>
            </m:r>
          </m:sub>
        </m:sSub>
        <m:r>
          <m:rPr>
            <m:sty m:val="p"/>
          </m:rPr>
          <m:t>=</m:t>
        </m:r>
        <m:sSubSup>
          <m:e>
            <m:r>
              <m:t>σ</m:t>
            </m:r>
          </m:e>
          <m:sub>
            <m:r>
              <m:t>r</m:t>
            </m:r>
          </m:sub>
          <m:sup>
            <m:r>
              <m:t>2</m:t>
            </m:r>
          </m:sup>
        </m:sSubSup>
      </m:oMath>
      <w:r>
        <w:t xml:space="preserve">，定义</w:t>
      </w:r>
    </w:p>
    <w:p>
      <w:pPr>
        <w:pStyle w:val="BodyText"/>
      </w:pPr>
      <m:oMathPara>
        <m:oMathParaPr>
          <m:jc m:val="center"/>
        </m:oMathParaPr>
        <m:oMath>
          <m:sSub>
            <m:e>
              <m:r>
                <m:t>ν</m:t>
              </m:r>
            </m:e>
            <m:sub>
              <m:r>
                <m:t>i</m:t>
              </m:r>
            </m:sub>
          </m:sSub>
          <m:r>
            <m:rPr>
              <m:sty m:val="p"/>
            </m:rPr>
            <m:t>=</m:t>
          </m:r>
          <m:sSub>
            <m:e>
              <m:r>
                <m:t>z</m:t>
              </m:r>
            </m:e>
            <m:sub>
              <m:r>
                <m:t>i</m:t>
              </m:r>
            </m:sub>
          </m:sSub>
          <m:r>
            <m:rPr>
              <m:sty m:val="p"/>
            </m:rPr>
            <m:t>−</m:t>
          </m:r>
          <m:sSub>
            <m:e>
              <m:r>
                <m:t>h</m:t>
              </m:r>
            </m:e>
            <m:sub>
              <m:r>
                <m:t>i</m:t>
              </m:r>
            </m:sub>
          </m:sSub>
          <m:d>
            <m:dPr>
              <m:begChr m:val="("/>
              <m:endChr m:val=")"/>
              <m:sepChr m:val=""/>
              <m:grow/>
            </m:dPr>
            <m:e>
              <m:sSup>
                <m:e>
                  <m:r>
                    <m:t>x</m:t>
                  </m:r>
                </m:e>
                <m:sup>
                  <m:r>
                    <m:rPr>
                      <m:sty m:val="p"/>
                    </m:rPr>
                    <m:t>−</m:t>
                  </m:r>
                </m:sup>
              </m:sSup>
            </m:e>
          </m:d>
          <m:r>
            <m:rPr>
              <m:sty m:val="p"/>
            </m:rPr>
            <m:t>,</m:t>
          </m:r>
          <m:r>
            <m:t>  </m:t>
          </m:r>
          <m:sSub>
            <m:e>
              <m:r>
                <m:t>S</m:t>
              </m:r>
            </m:e>
            <m:sub>
              <m:r>
                <m:t>0</m:t>
              </m:r>
              <m:r>
                <m:rPr>
                  <m:sty m:val="p"/>
                </m:rPr>
                <m:t>,</m:t>
              </m:r>
              <m:r>
                <m:t>i</m:t>
              </m:r>
            </m:sub>
          </m:sSub>
          <m:r>
            <m:rPr>
              <m:sty m:val="p"/>
            </m:rPr>
            <m:t>=</m:t>
          </m:r>
          <m:sSub>
            <m:e>
              <m:r>
                <m:t>H</m:t>
              </m:r>
            </m:e>
            <m:sub>
              <m:r>
                <m:t>i</m:t>
              </m:r>
            </m:sub>
          </m:sSub>
          <m:sSup>
            <m:e>
              <m:r>
                <m:t>P</m:t>
              </m:r>
            </m:e>
            <m:sup>
              <m:r>
                <m:rPr>
                  <m:sty m:val="p"/>
                </m:rPr>
                <m:t>−</m:t>
              </m:r>
            </m:sup>
          </m:sSup>
          <m:sSubSup>
            <m:e>
              <m:r>
                <m:t>H</m:t>
              </m:r>
            </m:e>
            <m:sub>
              <m:r>
                <m:t>i</m:t>
              </m:r>
            </m:sub>
            <m:sup>
              <m:r>
                <m:t>T</m:t>
              </m:r>
            </m:sup>
          </m:sSubSup>
          <m:r>
            <m:rPr>
              <m:sty m:val="p"/>
            </m:rPr>
            <m:t>+</m:t>
          </m:r>
          <m:sSub>
            <m:e>
              <m:r>
                <m:t>R</m:t>
              </m:r>
            </m:e>
            <m:sub>
              <m:r>
                <m:t>0</m:t>
              </m:r>
            </m:sub>
          </m:sSub>
          <m:r>
            <m:rPr>
              <m:sty m:val="p"/>
            </m:rPr>
            <m:t>,</m:t>
          </m:r>
          <m:r>
            <m:t>  </m:t>
          </m:r>
          <m:sSub>
            <m:e>
              <m:r>
                <m:t>η</m:t>
              </m:r>
            </m:e>
            <m:sub>
              <m:r>
                <m:t>i</m:t>
              </m:r>
            </m:sub>
          </m:sSub>
          <m:r>
            <m:rPr>
              <m:sty m:val="p"/>
            </m:rPr>
            <m:t>=</m:t>
          </m:r>
          <m:sSubSup>
            <m:e>
              <m:r>
                <m:t>ν</m:t>
              </m:r>
            </m:e>
            <m:sub>
              <m:r>
                <m:t>i</m:t>
              </m:r>
            </m:sub>
            <m:sup>
              <m:r>
                <m:t>2</m:t>
              </m:r>
            </m:sup>
          </m:sSubSup>
          <m:r>
            <m:rPr>
              <m:sty m:val="p"/>
            </m:rPr>
            <m:t>/</m:t>
          </m:r>
          <m:sSub>
            <m:e>
              <m:r>
                <m:t>S</m:t>
              </m:r>
            </m:e>
            <m:sub>
              <m:r>
                <m:t>0</m:t>
              </m:r>
              <m:r>
                <m:rPr>
                  <m:sty m:val="p"/>
                </m:rPr>
                <m:t>,</m:t>
              </m:r>
              <m:r>
                <m:t>i</m:t>
              </m:r>
            </m:sub>
          </m:sSub>
          <m:r>
            <m:rPr>
              <m:sty m:val="p"/>
            </m:rPr>
            <m:t>.</m:t>
          </m:r>
        </m:oMath>
      </m:oMathPara>
    </w:p>
    <w:p>
      <w:pPr>
        <w:pStyle w:val="FirstParagraph"/>
      </w:pPr>
      <m:oMath>
        <m:sSub>
          <m:e>
            <m:r>
              <m:t>η</m:t>
            </m:r>
          </m:e>
          <m:sub>
            <m:r>
              <m:t>i</m:t>
            </m:r>
          </m:sub>
        </m:sSub>
      </m:oMath>
      <w:r>
        <w:t xml:space="preserve"> </w:t>
      </w:r>
      <w:r>
        <w:t xml:space="preserve">为归一化创新平方（NIS）。理想局部标量高斯模型为卡方参考提供依据，但非线性、有偏及自适应滤波器不一定满足这一标定关系。较大值表示模型与观测不一致，不能唯一判定 NLOS：标定误差、时序误差、不良初始化或模型失配也可能产生较大新息。</w:t>
      </w:r>
    </w:p>
    <w:p>
      <w:pPr>
        <w:pStyle w:val="BodyText"/>
      </w:pPr>
      <w:r>
        <w:t xml:space="preserve">当</w:t>
      </w:r>
      <w:r>
        <w:t xml:space="preserve"> </w:t>
      </w:r>
      <m:oMath>
        <m:sSub>
          <m:e>
            <m:r>
              <m:t>η</m:t>
            </m:r>
          </m:e>
          <m:sub>
            <m:r>
              <m:t>i</m:t>
            </m:r>
          </m:sub>
        </m:sSub>
        <m:r>
          <m:rPr>
            <m:sty m:val="p"/>
          </m:rPr>
          <m:t>&gt;</m:t>
        </m:r>
        <m:sSub>
          <m:e>
            <m:r>
              <m:t>γ</m:t>
            </m:r>
          </m:e>
          <m:sub>
            <m:r>
              <m:t>h</m:t>
            </m:r>
          </m:sub>
        </m:sSub>
      </m:oMath>
      <w:r>
        <w:t xml:space="preserve"> </w:t>
      </w:r>
      <w:r>
        <w:t xml:space="preserve">时，门限规则剔除观测，其中</w:t>
      </w:r>
      <w:r>
        <w:t xml:space="preserve"> </w:t>
      </w:r>
      <m:oMath>
        <m:sSub>
          <m:e>
            <m:r>
              <m:t>γ</m:t>
            </m:r>
          </m:e>
          <m:sub>
            <m:r>
              <m:t>h</m:t>
            </m:r>
          </m:sub>
        </m:sSub>
        <m:r>
          <m:rPr>
            <m:sty m:val="p"/>
          </m:rPr>
          <m:t>=</m:t>
        </m:r>
        <m:r>
          <m:t>10.827566</m:t>
        </m:r>
      </m:oMath>
      <w:r>
        <w:t xml:space="preserve">。启用方差膨胀时，规则为</w:t>
      </w:r>
    </w:p>
    <w:p>
      <w:pPr>
        <w:pStyle w:val="BodyText"/>
      </w:pPr>
      <m:oMathPara>
        <m:oMathParaPr>
          <m:jc m:val="center"/>
        </m:oMathParaPr>
        <m:oMath>
          <m:sSub>
            <m:e>
              <m:r>
                <m:t>λ</m:t>
              </m:r>
            </m:e>
            <m:sub>
              <m:r>
                <m:t>i</m:t>
              </m:r>
            </m:sub>
          </m:sSub>
          <m:r>
            <m:rPr>
              <m:sty m:val="p"/>
            </m:rPr>
            <m:t>=</m:t>
          </m:r>
          <m:r>
            <m:rPr>
              <m:sty m:val="p"/>
            </m:rPr>
            <m:t>clip</m:t>
          </m:r>
          <m:d>
            <m:dPr>
              <m:begChr m:val="("/>
              <m:endChr m:val=")"/>
              <m:sepChr m:val=""/>
              <m:grow/>
            </m:dPr>
            <m:e>
              <m:sSub>
                <m:e>
                  <m:r>
                    <m:t>η</m:t>
                  </m:r>
                </m:e>
                <m:sub>
                  <m:r>
                    <m:t>i</m:t>
                  </m:r>
                </m:sub>
              </m:sSub>
              <m:r>
                <m:rPr>
                  <m:sty m:val="p"/>
                </m:rPr>
                <m:t>/</m:t>
              </m:r>
              <m:sSub>
                <m:e>
                  <m:r>
                    <m:t>γ</m:t>
                  </m:r>
                </m:e>
                <m:sub>
                  <m:r>
                    <m:t>s</m:t>
                  </m:r>
                </m:sub>
              </m:sSub>
              <m:r>
                <m:rPr>
                  <m:sty m:val="p"/>
                </m:rPr>
                <m:t>,</m:t>
              </m:r>
              <m:r>
                <m:t>1</m:t>
              </m:r>
              <m:r>
                <m:rPr>
                  <m:sty m:val="p"/>
                </m:rPr>
                <m:t>,</m:t>
              </m:r>
              <m:sSub>
                <m:e>
                  <m:r>
                    <m:t>λ</m:t>
                  </m:r>
                </m:e>
                <m:sub>
                  <m:r>
                    <m:rPr>
                      <m:sty m:val="p"/>
                    </m:rPr>
                    <m:t>max</m:t>
                  </m:r>
                </m:sub>
              </m:sSub>
            </m:e>
          </m:d>
          <m:r>
            <m:rPr>
              <m:sty m:val="p"/>
            </m:rPr>
            <m:t>,</m:t>
          </m:r>
          <m:r>
            <m:t>  </m:t>
          </m:r>
          <m:sSub>
            <m:e>
              <m:r>
                <m:t>R</m:t>
              </m:r>
            </m:e>
            <m:sub>
              <m:r>
                <m:t>i</m:t>
              </m:r>
            </m:sub>
          </m:sSub>
          <m:r>
            <m:rPr>
              <m:sty m:val="p"/>
            </m:rPr>
            <m:t>=</m:t>
          </m:r>
          <m:sSub>
            <m:e>
              <m:r>
                <m:t>R</m:t>
              </m:r>
            </m:e>
            <m:sub>
              <m:r>
                <m:t>0</m:t>
              </m:r>
            </m:sub>
          </m:sSub>
          <m:sSub>
            <m:e>
              <m:r>
                <m:t>λ</m:t>
              </m:r>
            </m:e>
            <m:sub>
              <m:r>
                <m:t>i</m:t>
              </m:r>
            </m:sub>
          </m:sSub>
          <m:r>
            <m:rPr>
              <m:sty m:val="p"/>
            </m:rPr>
            <m:t>,</m:t>
          </m:r>
        </m:oMath>
      </m:oMathPara>
    </w:p>
    <w:p>
      <w:pPr>
        <w:pStyle w:val="FirstParagraph"/>
      </w:pPr>
      <w:r>
        <w:t xml:space="preserve">其中</w:t>
      </w:r>
      <w:r>
        <w:t xml:space="preserve"> </w:t>
      </w:r>
      <m:oMath>
        <m:sSub>
          <m:e>
            <m:r>
              <m:t>γ</m:t>
            </m:r>
          </m:e>
          <m:sub>
            <m:r>
              <m:t>s</m:t>
            </m:r>
          </m:sub>
        </m:sSub>
        <m:r>
          <m:rPr>
            <m:sty m:val="p"/>
          </m:rPr>
          <m:t>=</m:t>
        </m:r>
        <m:r>
          <m:t>3.841459</m:t>
        </m:r>
      </m:oMath>
      <w:r>
        <w:t xml:space="preserve">、</w:t>
      </w:r>
      <m:oMath>
        <m:sSub>
          <m:e>
            <m:r>
              <m:t>λ</m:t>
            </m:r>
          </m:e>
          <m:sub>
            <m:r>
              <m:rPr>
                <m:sty m:val="p"/>
              </m:rPr>
              <m:t>max</m:t>
            </m:r>
          </m:sub>
        </m:sSub>
        <m:r>
          <m:rPr>
            <m:sty m:val="p"/>
          </m:rPr>
          <m:t>=</m:t>
        </m:r>
        <m:r>
          <m:t>25</m:t>
        </m:r>
      </m:oMath>
      <w:r>
        <w:t xml:space="preserve">。门限分别对应常见的标量卡方 99.9% 与 95% 分位数，是固定的开发设置，并非学习所得，也不宣称最优。门限判断使用</w:t>
      </w:r>
      <w:r>
        <w:rPr>
          <w:b/>
          <w:bCs/>
        </w:rPr>
        <w:t xml:space="preserve">膨胀之前</w:t>
      </w:r>
      <w:r>
        <w:t xml:space="preserve">的</w:t>
      </w:r>
      <w:r>
        <w:t xml:space="preserve"> </w:t>
      </w:r>
      <m:oMath>
        <m:sSub>
          <m:e>
            <m:r>
              <m:t>S</m:t>
            </m:r>
          </m:e>
          <m:sub>
            <m:r>
              <m:t>0</m:t>
            </m:r>
            <m:r>
              <m:rPr>
                <m:sty m:val="p"/>
              </m:rPr>
              <m:t>,</m:t>
            </m:r>
            <m:r>
              <m:t>i</m:t>
            </m:r>
          </m:sub>
        </m:sSub>
      </m:oMath>
      <w:r>
        <w:t xml:space="preserve">。因此，在组合方法中，被接受观测满足</w:t>
      </w:r>
      <w:r>
        <w:t xml:space="preserve"> </w:t>
      </w:r>
      <m:oMath>
        <m:sSub>
          <m:e>
            <m:r>
              <m:t>λ</m:t>
            </m:r>
          </m:e>
          <m:sub>
            <m:r>
              <m:t>i</m:t>
            </m:r>
          </m:sub>
        </m:sSub>
        <m:r>
          <m:rPr>
            <m:sty m:val="p"/>
          </m:rPr>
          <m:t>≤</m:t>
        </m:r>
        <m:sSub>
          <m:e>
            <m:r>
              <m:t>γ</m:t>
            </m:r>
          </m:e>
          <m:sub>
            <m:r>
              <m:t>h</m:t>
            </m:r>
          </m:sub>
        </m:sSub>
        <m:r>
          <m:rPr>
            <m:sty m:val="p"/>
          </m:rPr>
          <m:t>/</m:t>
        </m:r>
        <m:sSub>
          <m:e>
            <m:r>
              <m:t>γ</m:t>
            </m:r>
          </m:e>
          <m:sub>
            <m:r>
              <m:t>s</m:t>
            </m:r>
          </m:sub>
        </m:sSub>
        <m:r>
          <m:rPr>
            <m:sty m:val="p"/>
          </m:rPr>
          <m:t>≈</m:t>
        </m:r>
        <m:r>
          <m:t>2.82</m:t>
        </m:r>
      </m:oMath>
      <w:r>
        <w:t xml:space="preserve">；上限 25 可以在仅膨胀消融方法中生效，但在这些默认参数下不会对组合方法所接受的更新生效。</w:t>
      </w:r>
    </w:p>
    <w:p>
      <w:pPr>
        <w:pStyle w:val="BodyText"/>
      </w:pPr>
      <w:r>
        <w:t xml:space="preserve">该有界规则不同于原草稿建议的无界残差外积平滑。它是逐观测鲁棒加权启发式方法，不是测量协方差的一致估计器，也不能证明未知正偏差已得到补偿。过程噪声模型保持固定。</w:t>
      </w:r>
    </w:p>
    <w:bookmarkEnd w:id="28"/>
    <w:bookmarkStart w:id="29" w:name="校正与协方差重置"/>
    <w:p>
      <w:pPr>
        <w:pStyle w:val="Heading2"/>
      </w:pPr>
      <w:r>
        <w:t xml:space="preserve">4.2. 校正与协方差重置</w:t>
      </w:r>
    </w:p>
    <w:p>
      <w:pPr>
        <w:pStyle w:val="FirstParagraph"/>
      </w:pPr>
      <w:r>
        <w:t xml:space="preserve">对被接受的观测，</w:t>
      </w:r>
    </w:p>
    <w:p>
      <w:pPr>
        <w:pStyle w:val="BodyText"/>
      </w:pPr>
      <m:oMathPara>
        <m:oMathParaPr>
          <m:jc m:val="center"/>
        </m:oMathParaPr>
        <m:oMath>
          <m:sSub>
            <m:e>
              <m:r>
                <m:t>K</m:t>
              </m:r>
            </m:e>
            <m:sub>
              <m:r>
                <m:t>i</m:t>
              </m:r>
            </m:sub>
          </m:sSub>
          <m:r>
            <m:rPr>
              <m:sty m:val="p"/>
            </m:rPr>
            <m:t>=</m:t>
          </m:r>
          <m:sSup>
            <m:e>
              <m:r>
                <m:t>P</m:t>
              </m:r>
            </m:e>
            <m:sup>
              <m:r>
                <m:rPr>
                  <m:sty m:val="p"/>
                </m:rPr>
                <m:t>−</m:t>
              </m:r>
            </m:sup>
          </m:sSup>
          <m:sSubSup>
            <m:e>
              <m:r>
                <m:t>H</m:t>
              </m:r>
            </m:e>
            <m:sub>
              <m:r>
                <m:t>i</m:t>
              </m:r>
            </m:sub>
            <m:sup>
              <m:r>
                <m:t>T</m:t>
              </m:r>
            </m:sup>
          </m:sSubSup>
          <m:sSup>
            <m:e>
              <m:d>
                <m:dPr>
                  <m:begChr m:val="("/>
                  <m:endChr m:val=")"/>
                  <m:sepChr m:val=""/>
                  <m:grow/>
                </m:dPr>
                <m:e>
                  <m:sSub>
                    <m:e>
                      <m:r>
                        <m:t>H</m:t>
                      </m:r>
                    </m:e>
                    <m:sub>
                      <m:r>
                        <m:t>i</m:t>
                      </m:r>
                    </m:sub>
                  </m:sSub>
                  <m:sSup>
                    <m:e>
                      <m:r>
                        <m:t>P</m:t>
                      </m:r>
                    </m:e>
                    <m:sup>
                      <m:r>
                        <m:rPr>
                          <m:sty m:val="p"/>
                        </m:rPr>
                        <m:t>−</m:t>
                      </m:r>
                    </m:sup>
                  </m:sSup>
                  <m:sSubSup>
                    <m:e>
                      <m:r>
                        <m:t>H</m:t>
                      </m:r>
                    </m:e>
                    <m:sub>
                      <m:r>
                        <m:t>i</m:t>
                      </m:r>
                    </m:sub>
                    <m:sup>
                      <m:r>
                        <m:t>T</m:t>
                      </m:r>
                    </m:sup>
                  </m:sSubSup>
                  <m:r>
                    <m:rPr>
                      <m:sty m:val="p"/>
                    </m:rPr>
                    <m:t>+</m:t>
                  </m:r>
                  <m:sSub>
                    <m:e>
                      <m:r>
                        <m:t>R</m:t>
                      </m:r>
                    </m:e>
                    <m:sub>
                      <m:r>
                        <m:t>i</m:t>
                      </m:r>
                    </m:sub>
                  </m:sSub>
                </m:e>
              </m:d>
            </m:e>
            <m:sup>
              <m:r>
                <m:rPr>
                  <m:sty m:val="p"/>
                </m:rPr>
                <m:t>−</m:t>
              </m:r>
              <m:r>
                <m:t>1</m:t>
              </m:r>
            </m:sup>
          </m:sSup>
          <m:r>
            <m:rPr>
              <m:sty m:val="p"/>
            </m:rPr>
            <m:t>,</m:t>
          </m:r>
          <m:r>
            <m:t>  </m:t>
          </m:r>
          <m:acc>
            <m:accPr>
              <m:chr m:val="̂"/>
            </m:accPr>
            <m:e>
              <m:r>
                <m:t>δ</m:t>
              </m:r>
              <m:r>
                <m:t>x</m:t>
              </m:r>
            </m:e>
          </m:acc>
          <m:r>
            <m:rPr>
              <m:sty m:val="p"/>
            </m:rPr>
            <m:t>=</m:t>
          </m:r>
          <m:sSub>
            <m:e>
              <m:r>
                <m:t>K</m:t>
              </m:r>
            </m:e>
            <m:sub>
              <m:r>
                <m:t>i</m:t>
              </m:r>
            </m:sub>
          </m:sSub>
          <m:sSub>
            <m:e>
              <m:r>
                <m:t>ν</m:t>
              </m:r>
            </m:e>
            <m:sub>
              <m:r>
                <m:t>i</m:t>
              </m:r>
            </m:sub>
          </m:sSub>
          <m:r>
            <m:rPr>
              <m:sty m:val="p"/>
            </m:rPr>
            <m:t>.</m:t>
          </m:r>
        </m:oMath>
      </m:oMathPara>
    </w:p>
    <w:p>
      <w:pPr>
        <w:pStyle w:val="FirstParagraph"/>
      </w:pPr>
      <w:r>
        <w:t xml:space="preserve">位置、速度和零偏采用加性校正，姿态采用</w:t>
      </w:r>
      <w:r>
        <w:t xml:space="preserve"> </w:t>
      </w:r>
      <m:oMath>
        <m:sSup>
          <m:e>
            <m:r>
              <m:t>q</m:t>
            </m:r>
          </m:e>
          <m:sup>
            <m:r>
              <m:rPr>
                <m:sty m:val="p"/>
              </m:rPr>
              <m:t>+</m:t>
            </m:r>
          </m:sup>
        </m:sSup>
        <m:r>
          <m:rPr>
            <m:sty m:val="p"/>
          </m:rPr>
          <m:t>=</m:t>
        </m:r>
        <m:sSup>
          <m:e>
            <m:r>
              <m:t>q</m:t>
            </m:r>
          </m:e>
          <m:sup>
            <m:r>
              <m:rPr>
                <m:sty m:val="p"/>
              </m:rPr>
              <m:t>−</m:t>
            </m:r>
          </m:sup>
        </m:sSup>
        <m:r>
          <m:rPr>
            <m:sty m:val="p"/>
          </m:rPr>
          <m:t>⊗</m:t>
        </m:r>
        <m:r>
          <m:rPr>
            <m:sty m:val="p"/>
          </m:rPr>
          <m:t>Exp</m:t>
        </m:r>
        <m:d>
          <m:dPr>
            <m:begChr m:val="("/>
            <m:endChr m:val=")"/>
            <m:sepChr m:val=""/>
            <m:grow/>
          </m:dPr>
          <m:e>
            <m:acc>
              <m:accPr>
                <m:chr m:val="̂"/>
              </m:accPr>
              <m:e>
                <m:r>
                  <m:t>δ</m:t>
                </m:r>
                <m:r>
                  <m:t>θ</m:t>
                </m:r>
              </m:e>
            </m:acc>
          </m:e>
        </m:d>
      </m:oMath>
      <w:r>
        <w:t xml:space="preserve"> </w:t>
      </w:r>
      <w:r>
        <w:t xml:space="preserve">校正。将局部误差重置为零之前，协方差使用 Joseph 形式更新：</w:t>
      </w:r>
    </w:p>
    <w:p>
      <w:pPr>
        <w:pStyle w:val="BodyText"/>
      </w:pPr>
      <m:oMathPara>
        <m:oMathParaPr>
          <m:jc m:val="center"/>
        </m:oMathParaPr>
        <m:oMath>
          <m:acc>
            <m:accPr>
              <m:chr m:val="̃"/>
            </m:accPr>
            <m:e>
              <m:r>
                <m:t>P</m:t>
              </m:r>
            </m:e>
          </m:acc>
          <m:r>
            <m:rPr>
              <m:sty m:val="p"/>
            </m:rPr>
            <m:t>=</m:t>
          </m:r>
          <m:d>
            <m:dPr>
              <m:begChr m:val="("/>
              <m:endChr m:val=")"/>
              <m:sepChr m:val=""/>
              <m:grow/>
            </m:dPr>
            <m:e>
              <m:r>
                <m:t>I</m:t>
              </m:r>
              <m:r>
                <m:rPr>
                  <m:sty m:val="p"/>
                </m:rPr>
                <m:t>−</m:t>
              </m:r>
              <m:sSub>
                <m:e>
                  <m:r>
                    <m:t>K</m:t>
                  </m:r>
                </m:e>
                <m:sub>
                  <m:r>
                    <m:t>i</m:t>
                  </m:r>
                </m:sub>
              </m:sSub>
              <m:sSub>
                <m:e>
                  <m:r>
                    <m:t>H</m:t>
                  </m:r>
                </m:e>
                <m:sub>
                  <m:r>
                    <m:t>i</m:t>
                  </m:r>
                </m:sub>
              </m:sSub>
            </m:e>
          </m:d>
          <m:sSup>
            <m:e>
              <m:r>
                <m:t>P</m:t>
              </m:r>
            </m:e>
            <m:sup>
              <m:r>
                <m:rPr>
                  <m:sty m:val="p"/>
                </m:rPr>
                <m:t>−</m:t>
              </m:r>
            </m:sup>
          </m:sSup>
          <m:sSup>
            <m:e>
              <m:d>
                <m:dPr>
                  <m:begChr m:val="("/>
                  <m:endChr m:val=")"/>
                  <m:sepChr m:val=""/>
                  <m:grow/>
                </m:dPr>
                <m:e>
                  <m:r>
                    <m:t>I</m:t>
                  </m:r>
                  <m:r>
                    <m:rPr>
                      <m:sty m:val="p"/>
                    </m:rPr>
                    <m:t>−</m:t>
                  </m:r>
                  <m:sSub>
                    <m:e>
                      <m:r>
                        <m:t>K</m:t>
                      </m:r>
                    </m:e>
                    <m:sub>
                      <m:r>
                        <m:t>i</m:t>
                      </m:r>
                    </m:sub>
                  </m:sSub>
                  <m:sSub>
                    <m:e>
                      <m:r>
                        <m:t>H</m:t>
                      </m:r>
                    </m:e>
                    <m:sub>
                      <m:r>
                        <m:t>i</m:t>
                      </m:r>
                    </m:sub>
                  </m:sSub>
                </m:e>
              </m:d>
            </m:e>
            <m:sup>
              <m:r>
                <m:t>T</m:t>
              </m:r>
            </m:sup>
          </m:sSup>
          <m:r>
            <m:rPr>
              <m:sty m:val="p"/>
            </m:rPr>
            <m:t>+</m:t>
          </m:r>
          <m:sSub>
            <m:e>
              <m:r>
                <m:t>K</m:t>
              </m:r>
            </m:e>
            <m:sub>
              <m:r>
                <m:t>i</m:t>
              </m:r>
            </m:sub>
          </m:sSub>
          <m:sSub>
            <m:e>
              <m:r>
                <m:t>R</m:t>
              </m:r>
            </m:e>
            <m:sub>
              <m:r>
                <m:t>i</m:t>
              </m:r>
            </m:sub>
          </m:sSub>
          <m:sSubSup>
            <m:e>
              <m:r>
                <m:t>K</m:t>
              </m:r>
            </m:e>
            <m:sub>
              <m:r>
                <m:t>i</m:t>
              </m:r>
            </m:sub>
            <m:sup>
              <m:r>
                <m:t>T</m:t>
              </m:r>
            </m:sup>
          </m:sSubSup>
          <m:r>
            <m:rPr>
              <m:sty m:val="p"/>
            </m:rPr>
            <m:t>.</m:t>
          </m:r>
        </m:oMath>
      </m:oMathPara>
    </w:p>
    <w:p>
      <w:pPr>
        <w:pStyle w:val="FirstParagraph"/>
      </w:pPr>
      <w:r>
        <w:t xml:space="preserve">重置为</w:t>
      </w:r>
      <w:r>
        <w:t xml:space="preserve"> </w:t>
      </w:r>
      <m:oMath>
        <m:sSup>
          <m:e>
            <m:r>
              <m:t>P</m:t>
            </m:r>
          </m:e>
          <m:sup>
            <m:r>
              <m:rPr>
                <m:sty m:val="p"/>
              </m:rPr>
              <m:t>+</m:t>
            </m:r>
          </m:sup>
        </m:sSup>
        <m:r>
          <m:rPr>
            <m:sty m:val="p"/>
          </m:rPr>
          <m:t>=</m:t>
        </m:r>
        <m:r>
          <m:t>J</m:t>
        </m:r>
        <m:acc>
          <m:accPr>
            <m:chr m:val="̃"/>
          </m:accPr>
          <m:e>
            <m:r>
              <m:t>P</m:t>
            </m:r>
          </m:e>
        </m:acc>
        <m:sSup>
          <m:e>
            <m:r>
              <m:t>J</m:t>
            </m:r>
          </m:e>
          <m:sup>
            <m:r>
              <m:t>T</m:t>
            </m:r>
          </m:sup>
        </m:sSup>
      </m:oMath>
      <w:r>
        <w:t xml:space="preserve">，其中</w:t>
      </w:r>
    </w:p>
    <w:p>
      <w:pPr>
        <w:pStyle w:val="BodyText"/>
      </w:pPr>
      <m:oMathPara>
        <m:oMathParaPr>
          <m:jc m:val="center"/>
        </m:oMathParaPr>
        <m:oMath>
          <m:r>
            <m:t>J</m:t>
          </m:r>
          <m:r>
            <m:rPr>
              <m:sty m:val="p"/>
            </m:rPr>
            <m:t>=</m:t>
          </m:r>
          <m:r>
            <m:rPr>
              <m:sty m:val="p"/>
            </m:rPr>
            <m:t>diag</m:t>
          </m:r>
          <m:d>
            <m:dPr>
              <m:begChr m:val="("/>
              <m:endChr m:val=")"/>
              <m:sepChr m:val=""/>
              <m:grow/>
            </m:dPr>
            <m:e>
              <m:r>
                <m:t>I</m:t>
              </m:r>
              <m:r>
                <m:rPr>
                  <m:sty m:val="p"/>
                </m:rPr>
                <m:t>,</m:t>
              </m:r>
              <m:r>
                <m:t>I</m:t>
              </m:r>
              <m:r>
                <m:rPr>
                  <m:sty m:val="p"/>
                </m:rPr>
                <m:t>,</m:t>
              </m:r>
              <m:sSub>
                <m:e>
                  <m:r>
                    <m:t>J</m:t>
                  </m:r>
                </m:e>
                <m:sub>
                  <m:r>
                    <m:t>r</m:t>
                  </m:r>
                </m:sub>
              </m:sSub>
              <m:d>
                <m:dPr>
                  <m:begChr m:val="("/>
                  <m:endChr m:val=")"/>
                  <m:sepChr m:val=""/>
                  <m:grow/>
                </m:dPr>
                <m:e>
                  <m:acc>
                    <m:accPr>
                      <m:chr m:val="̂"/>
                    </m:accPr>
                    <m:e>
                      <m:r>
                        <m:t>δ</m:t>
                      </m:r>
                      <m:r>
                        <m:t>θ</m:t>
                      </m:r>
                    </m:e>
                  </m:acc>
                </m:e>
              </m:d>
              <m:r>
                <m:rPr>
                  <m:sty m:val="p"/>
                </m:rPr>
                <m:t>,</m:t>
              </m:r>
              <m:r>
                <m:t>I</m:t>
              </m:r>
              <m:r>
                <m:rPr>
                  <m:sty m:val="p"/>
                </m:rPr>
                <m:t>,</m:t>
              </m:r>
              <m:r>
                <m:t>I</m:t>
              </m:r>
            </m:e>
          </m:d>
          <m:r>
            <m:rPr>
              <m:sty m:val="p"/>
            </m:rPr>
            <m:t>,</m:t>
          </m:r>
        </m:oMath>
      </m:oMathPara>
    </w:p>
    <w:p>
      <w:pPr>
        <w:pStyle w:val="FirstParagraph"/>
      </w:pPr>
      <m:oMathPara>
        <m:oMathParaPr>
          <m:jc m:val="center"/>
        </m:oMathParaPr>
        <m:oMath>
          <m:sSub>
            <m:e>
              <m:r>
                <m:t>J</m:t>
              </m:r>
            </m:e>
            <m:sub>
              <m:r>
                <m:t>r</m:t>
              </m:r>
            </m:sub>
          </m:sSub>
          <m:d>
            <m:dPr>
              <m:begChr m:val="("/>
              <m:endChr m:val=")"/>
              <m:sepChr m:val=""/>
              <m:grow/>
            </m:dPr>
            <m:e>
              <m:r>
                <m:t>u</m:t>
              </m:r>
            </m:e>
          </m:d>
          <m:r>
            <m:rPr>
              <m:sty m:val="p"/>
            </m:rPr>
            <m:t>=</m:t>
          </m:r>
          <m:r>
            <m:t>I</m:t>
          </m:r>
          <m:r>
            <m:rPr>
              <m:sty m:val="p"/>
            </m:rPr>
            <m:t>−</m:t>
          </m:r>
          <m:f>
            <m:fPr>
              <m:type m:val="bar"/>
            </m:fPr>
            <m:num>
              <m:r>
                <m:t>1</m:t>
              </m:r>
              <m:r>
                <m:rPr>
                  <m:sty m:val="p"/>
                </m:rPr>
                <m:t>−</m:t>
              </m:r>
              <m:r>
                <m:rPr>
                  <m:sty m:val="p"/>
                </m:rPr>
                <m:t>cos</m:t>
              </m:r>
              <m:r>
                <m:t>θ</m:t>
              </m:r>
            </m:num>
            <m:den>
              <m:sSup>
                <m:e>
                  <m:r>
                    <m:t>θ</m:t>
                  </m:r>
                </m:e>
                <m:sup>
                  <m:r>
                    <m:t>2</m:t>
                  </m:r>
                </m:sup>
              </m:sSup>
            </m:den>
          </m:f>
          <m:sSub>
            <m:e>
              <m:d>
                <m:dPr>
                  <m:begChr m:val="["/>
                  <m:endChr m:val="]"/>
                  <m:sepChr m:val=""/>
                  <m:grow/>
                </m:dPr>
                <m:e>
                  <m:r>
                    <m:t>u</m:t>
                  </m:r>
                </m:e>
              </m:d>
            </m:e>
            <m:sub>
              <m:r>
                <m:rPr>
                  <m:sty m:val="p"/>
                </m:rPr>
                <m:t>×</m:t>
              </m:r>
            </m:sub>
          </m:sSub>
          <m:r>
            <m:rPr>
              <m:sty m:val="p"/>
            </m:rPr>
            <m:t>+</m:t>
          </m:r>
          <m:f>
            <m:fPr>
              <m:type m:val="bar"/>
            </m:fPr>
            <m:num>
              <m:r>
                <m:t>θ</m:t>
              </m:r>
              <m:r>
                <m:rPr>
                  <m:sty m:val="p"/>
                </m:rPr>
                <m:t>−</m:t>
              </m:r>
              <m:r>
                <m:rPr>
                  <m:sty m:val="p"/>
                </m:rPr>
                <m:t>sin</m:t>
              </m:r>
              <m:r>
                <m:t>θ</m:t>
              </m:r>
            </m:num>
            <m:den>
              <m:sSup>
                <m:e>
                  <m:r>
                    <m:t>θ</m:t>
                  </m:r>
                </m:e>
                <m:sup>
                  <m:r>
                    <m:t>3</m:t>
                  </m:r>
                </m:sup>
              </m:sSup>
            </m:den>
          </m:f>
          <m:sSubSup>
            <m:e>
              <m:d>
                <m:dPr>
                  <m:begChr m:val="["/>
                  <m:endChr m:val="]"/>
                  <m:sepChr m:val=""/>
                  <m:grow/>
                </m:dPr>
                <m:e>
                  <m:r>
                    <m:t>u</m:t>
                  </m:r>
                </m:e>
              </m:d>
            </m:e>
            <m:sub>
              <m:r>
                <m:rPr>
                  <m:sty m:val="p"/>
                </m:rPr>
                <m:t>×</m:t>
              </m:r>
            </m:sub>
            <m:sup>
              <m:r>
                <m:t>2</m:t>
              </m:r>
            </m:sup>
          </m:sSubSup>
          <m:r>
            <m:rPr>
              <m:sty m:val="p"/>
            </m:rPr>
            <m:t>,</m:t>
          </m:r>
          <m:r>
            <m:t>  </m:t>
          </m:r>
          <m:r>
            <m:t>θ</m:t>
          </m:r>
          <m:r>
            <m:rPr>
              <m:sty m:val="p"/>
            </m:rPr>
            <m:t>=</m:t>
          </m:r>
          <m:r>
            <m:rPr>
              <m:sty m:val="p"/>
            </m:rPr>
            <m:t>∥</m:t>
          </m:r>
          <m:r>
            <m:t>u</m:t>
          </m:r>
          <m:r>
            <m:rPr>
              <m:sty m:val="p"/>
            </m:rPr>
            <m:t>∥</m:t>
          </m:r>
          <m:r>
            <m:rPr>
              <m:sty m:val="p"/>
            </m:rPr>
            <m:t>,</m:t>
          </m:r>
        </m:oMath>
      </m:oMathPara>
    </w:p>
    <w:p>
      <w:pPr>
        <w:pStyle w:val="FirstParagraph"/>
      </w:pPr>
      <w:r>
        <w:t xml:space="preserve">并在数值实现中处理小角度极限。该重置使协方差继续围绕校正后的名义姿态表示</w:t>
      </w:r>
      <w:r>
        <w:t xml:space="preserve"> </w:t>
      </w:r>
      <w:r>
        <w:t xml:space="preserve">(Solà 2017)</w:t>
      </w:r>
      <w:r>
        <w:t xml:space="preserve">。对称化消除浮点非对称性，但不能使错误设定的模型获得统计一致性。</w:t>
      </w:r>
    </w:p>
    <w:p>
      <w:pPr>
        <w:pStyle w:val="BodyText"/>
      </w:pPr>
      <w:r>
        <w:t xml:space="preserve">若观测被剔除，则跳过对应更新。若所有测量缺失或被剔除，滤波器依赖惯性递推。重新获取有效观测并不保证成功：漂移足够大后，门限也可能拒绝真实有效的测量。这一失效模式应纳入评估，而非预先排除。</w:t>
      </w:r>
    </w:p>
    <w:bookmarkEnd w:id="29"/>
    <w:bookmarkStart w:id="30" w:name="对照方法与消融"/>
    <w:p>
      <w:pPr>
        <w:pStyle w:val="Heading2"/>
      </w:pPr>
      <w:r>
        <w:t xml:space="preserve">4.3. 对照方法与消融</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仓库标识</w:t>
            </w:r>
          </w:p>
        </w:tc>
        <w:tc>
          <w:tcPr/>
          <w:p>
            <w:pPr>
              <w:pStyle w:val="Compact"/>
              <w:jc w:val="left"/>
            </w:pPr>
            <w:r>
              <w:t xml:space="preserve">估计规则</w:t>
            </w:r>
          </w:p>
        </w:tc>
        <w:tc>
          <w:tcPr/>
          <w:p>
            <w:pPr>
              <w:pStyle w:val="Compact"/>
              <w:jc w:val="left"/>
            </w:pPr>
            <w:r>
              <w:t xml:space="preserve">目的</w:t>
            </w:r>
          </w:p>
        </w:tc>
      </w:tr>
      <w:tr>
        <w:tc>
          <w:tcPr/>
          <w:p>
            <w:pPr>
              <w:pStyle w:val="Compact"/>
              <w:jc w:val="left"/>
            </w:pPr>
            <w:r>
              <w:rPr>
                <w:rStyle w:val="VerbatimChar"/>
              </w:rPr>
              <w:t xml:space="preserve">uwb</w:t>
            </w:r>
          </w:p>
        </w:tc>
        <w:tc>
          <w:tcPr/>
          <w:p>
            <w:pPr>
              <w:pStyle w:val="Compact"/>
              <w:jc w:val="left"/>
            </w:pPr>
            <w:r>
              <w:t xml:space="preserve">不含动态先验的逐时刻非线性最小二乘多边定位</w:t>
            </w:r>
          </w:p>
        </w:tc>
        <w:tc>
          <w:tcPr/>
          <w:p>
            <w:pPr>
              <w:pStyle w:val="Compact"/>
              <w:jc w:val="left"/>
            </w:pPr>
            <w:r>
              <w:t xml:space="preserve">纯测距对照；可用距离不足时无输出</w:t>
            </w:r>
          </w:p>
        </w:tc>
      </w:tr>
      <w:tr>
        <w:tc>
          <w:tcPr/>
          <w:p>
            <w:pPr>
              <w:pStyle w:val="Compact"/>
              <w:jc w:val="left"/>
            </w:pPr>
            <w:r>
              <w:rPr>
                <w:rStyle w:val="VerbatimChar"/>
              </w:rPr>
              <w:t xml:space="preserve">ins</w:t>
            </w:r>
          </w:p>
        </w:tc>
        <w:tc>
          <w:tcPr/>
          <w:p>
            <w:pPr>
              <w:pStyle w:val="Compact"/>
              <w:jc w:val="left"/>
            </w:pPr>
            <w:r>
              <w:t xml:space="preserve">从相同热启动初值进行惯性递推</w:t>
            </w:r>
          </w:p>
        </w:tc>
        <w:tc>
          <w:tcPr/>
          <w:p>
            <w:pPr>
              <w:pStyle w:val="Compact"/>
              <w:jc w:val="left"/>
            </w:pPr>
            <w:r>
              <w:t xml:space="preserve">不采用 UWB 校正的漂移对照</w:t>
            </w:r>
          </w:p>
        </w:tc>
      </w:tr>
      <w:tr>
        <w:tc>
          <w:tcPr/>
          <w:p>
            <w:pPr>
              <w:pStyle w:val="Compact"/>
              <w:jc w:val="left"/>
            </w:pPr>
            <w:r>
              <w:rPr>
                <w:rStyle w:val="VerbatimChar"/>
              </w:rPr>
              <w:t xml:space="preserve">eskf</w:t>
            </w:r>
          </w:p>
        </w:tc>
        <w:tc>
          <w:tcPr/>
          <w:p>
            <w:pPr>
              <w:pStyle w:val="Compact"/>
              <w:jc w:val="left"/>
            </w:pPr>
            <w:r>
              <w:t xml:space="preserve">使用固定</w:t>
            </w:r>
            <w:r>
              <w:t xml:space="preserve"> </w:t>
            </w:r>
            <m:oMath>
              <m:sSub>
                <m:e>
                  <m:r>
                    <m:t>R</m:t>
                  </m:r>
                </m:e>
                <m:sub>
                  <m:r>
                    <m:t>0</m:t>
                  </m:r>
                </m:sub>
              </m:sSub>
            </m:oMath>
            <w:r>
              <w:t xml:space="preserve"> </w:t>
            </w:r>
            <w:r>
              <w:t xml:space="preserve">的 ESKF</w:t>
            </w:r>
          </w:p>
        </w:tc>
        <w:tc>
          <w:tcPr/>
          <w:p>
            <w:pPr>
              <w:pStyle w:val="Compact"/>
              <w:jc w:val="left"/>
            </w:pPr>
            <w:r>
              <w:t xml:space="preserve">常规融合参考</w:t>
            </w:r>
          </w:p>
        </w:tc>
      </w:tr>
      <w:tr>
        <w:tc>
          <w:tcPr/>
          <w:p>
            <w:pPr>
              <w:pStyle w:val="Compact"/>
              <w:jc w:val="left"/>
            </w:pPr>
            <w:r>
              <w:rPr>
                <w:rStyle w:val="VerbatimChar"/>
              </w:rPr>
              <w:t xml:space="preserve">gated_eskf</w:t>
            </w:r>
          </w:p>
        </w:tc>
        <w:tc>
          <w:tcPr/>
          <w:p>
            <w:pPr>
              <w:pStyle w:val="Compact"/>
              <w:jc w:val="left"/>
            </w:pPr>
            <w:r>
              <w:t xml:space="preserve">固定</w:t>
            </w:r>
            <w:r>
              <w:t xml:space="preserve"> </w:t>
            </w:r>
            <m:oMath>
              <m:sSub>
                <m:e>
                  <m:r>
                    <m:t>R</m:t>
                  </m:r>
                </m:e>
                <m:sub>
                  <m:r>
                    <m:t>0</m:t>
                  </m:r>
                </m:sub>
              </m:sSub>
            </m:oMath>
            <w:r>
              <w:t xml:space="preserve"> </w:t>
            </w:r>
            <w:r>
              <w:t xml:space="preserve">加 NIS 硬门限剔除</w:t>
            </w:r>
          </w:p>
        </w:tc>
        <w:tc>
          <w:tcPr/>
          <w:p>
            <w:pPr>
              <w:pStyle w:val="Compact"/>
              <w:jc w:val="left"/>
            </w:pPr>
            <w:r>
              <w:t xml:space="preserve">单独检验门限作用</w:t>
            </w:r>
          </w:p>
        </w:tc>
      </w:tr>
      <w:tr>
        <w:tc>
          <w:tcPr/>
          <w:p>
            <w:pPr>
              <w:pStyle w:val="Compact"/>
              <w:jc w:val="left"/>
            </w:pPr>
            <w:r>
              <w:rPr>
                <w:rStyle w:val="VerbatimChar"/>
              </w:rPr>
              <w:t xml:space="preserve">adaptive_eskf</w:t>
            </w:r>
          </w:p>
        </w:tc>
        <w:tc>
          <w:tcPr/>
          <w:p>
            <w:pPr>
              <w:pStyle w:val="Compact"/>
              <w:jc w:val="left"/>
            </w:pPr>
            <w:r>
              <w:t xml:space="preserve">有界方差膨胀，不使用硬剔除</w:t>
            </w:r>
          </w:p>
        </w:tc>
        <w:tc>
          <w:tcPr/>
          <w:p>
            <w:pPr>
              <w:pStyle w:val="Compact"/>
              <w:jc w:val="left"/>
            </w:pPr>
            <w:r>
              <w:t xml:space="preserve">单独检验逐观测膨胀作用</w:t>
            </w:r>
          </w:p>
        </w:tc>
      </w:tr>
      <w:tr>
        <w:tc>
          <w:tcPr/>
          <w:p>
            <w:pPr>
              <w:pStyle w:val="Compact"/>
              <w:jc w:val="left"/>
            </w:pPr>
            <w:r>
              <w:rPr>
                <w:rStyle w:val="VerbatimChar"/>
              </w:rPr>
              <w:t xml:space="preserve">robust_eskf</w:t>
            </w:r>
          </w:p>
        </w:tc>
        <w:tc>
          <w:tcPr/>
          <w:p>
            <w:pPr>
              <w:pStyle w:val="Compact"/>
              <w:jc w:val="left"/>
            </w:pPr>
            <w:r>
              <w:t xml:space="preserve">硬剔除后进行有界膨胀</w:t>
            </w:r>
          </w:p>
        </w:tc>
        <w:tc>
          <w:tcPr/>
          <w:p>
            <w:pPr>
              <w:pStyle w:val="Compact"/>
              <w:jc w:val="left"/>
            </w:pPr>
            <w:r>
              <w:t xml:space="preserve">组合鲁棒基线</w:t>
            </w:r>
          </w:p>
        </w:tc>
      </w:tr>
    </w:tbl>
    <w:p>
      <w:pPr>
        <w:pStyle w:val="BodyText"/>
      </w:pPr>
      <w:r>
        <w:t xml:space="preserve">这些方法在同一框架下实现，并非对具名外部竞争方法的复现。UWB 优化器以上一次成功解作为数值初值，要求至少四个非共面基站；其目标函数仅包含当前距离。所有融合方法共用初始化、过程噪声和传感器数据实现。特别是，相对固定融合的有利结果不足以证明方差膨胀相对仅门限方法具有额外价值。</w:t>
      </w:r>
    </w:p>
    <w:bookmarkEnd w:id="30"/>
    <w:bookmarkEnd w:id="31"/>
    <w:bookmarkStart w:id="32" w:name="遥测认证保护与威胁模型"/>
    <w:p>
      <w:pPr>
        <w:pStyle w:val="Heading1"/>
      </w:pPr>
      <w:r>
        <w:t xml:space="preserve">5. 遥测认证保护与威胁模型</w:t>
      </w:r>
    </w:p>
    <w:p>
      <w:pPr>
        <w:pStyle w:val="FirstParagraph"/>
      </w:pPr>
      <w:r>
        <w:t xml:space="preserve">考虑能够观察、篡改、注入、丢弃、复制或重排遥测数据包，但无法获得当前会话密钥或攻陷可信端点的网络攻击者。本地传感器测量在遥测加密之前进入估计器。独立模块使用 AES-256-GCM 保护序列化的外发载荷，滤波在可信端点上以明文计算。这不是同态计算。</w:t>
      </w:r>
    </w:p>
    <w:p>
      <w:pPr>
        <w:pStyle w:val="BodyText"/>
      </w:pPr>
      <w:r>
        <w:t xml:space="preserve">给定会话密钥</w:t>
      </w:r>
      <w:r>
        <w:t xml:space="preserve"> </w:t>
      </w:r>
      <m:oMath>
        <m:r>
          <m:t>K</m:t>
        </m:r>
      </m:oMath>
      <w:r>
        <w:t xml:space="preserve">、唯一随机数</w:t>
      </w:r>
      <w:r>
        <w:t xml:space="preserve"> </w:t>
      </w:r>
      <m:oMath>
        <m:r>
          <m:t>N</m:t>
        </m:r>
      </m:oMath>
      <w:r>
        <w:t xml:space="preserve">、附加数据头部</w:t>
      </w:r>
      <w:r>
        <w:t xml:space="preserve"> </w:t>
      </w:r>
      <m:oMath>
        <m:r>
          <m:t>A</m:t>
        </m:r>
      </m:oMath>
      <w:r>
        <w:t xml:space="preserve"> </w:t>
      </w:r>
      <w:r>
        <w:t xml:space="preserve">和载荷</w:t>
      </w:r>
      <w:r>
        <w:t xml:space="preserve"> </w:t>
      </w:r>
      <m:oMath>
        <m:r>
          <m:t>M</m:t>
        </m:r>
      </m:oMath>
      <w:r>
        <w:t xml:space="preserve">，</w:t>
      </w:r>
    </w:p>
    <w:p>
      <w:pPr>
        <w:pStyle w:val="BodyText"/>
      </w:pPr>
      <m:oMathPara>
        <m:oMathParaPr>
          <m:jc m:val="center"/>
        </m:oMathParaPr>
        <m:oMath>
          <m:d>
            <m:dPr>
              <m:begChr m:val="("/>
              <m:endChr m:val=")"/>
              <m:sepChr m:val=""/>
              <m:grow/>
            </m:dPr>
            <m:e>
              <m:r>
                <m:t>C</m:t>
              </m:r>
              <m:r>
                <m:rPr>
                  <m:sty m:val="p"/>
                </m:rPr>
                <m:t>,</m:t>
              </m:r>
              <m:r>
                <m:t>T</m:t>
              </m:r>
            </m:e>
          </m:d>
          <m:r>
            <m:rPr>
              <m:sty m:val="p"/>
            </m:rPr>
            <m:t>=</m:t>
          </m:r>
          <m:sSub>
            <m:e>
              <m:r>
                <m:rPr>
                  <m:sty m:val="p"/>
                </m:rPr>
                <m:t>GCM.Enc</m:t>
              </m:r>
            </m:e>
            <m:sub>
              <m:r>
                <m:t>K</m:t>
              </m:r>
            </m:sub>
          </m:sSub>
          <m:d>
            <m:dPr>
              <m:begChr m:val="("/>
              <m:endChr m:val=")"/>
              <m:sepChr m:val=""/>
              <m:grow/>
            </m:dPr>
            <m:e>
              <m:r>
                <m:t>N</m:t>
              </m:r>
              <m:r>
                <m:rPr>
                  <m:sty m:val="p"/>
                </m:rPr>
                <m:t>,</m:t>
              </m:r>
              <m:r>
                <m:t>M</m:t>
              </m:r>
              <m:r>
                <m:rPr>
                  <m:sty m:val="p"/>
                </m:rPr>
                <m:t>,</m:t>
              </m:r>
              <m:r>
                <m:t>A</m:t>
              </m:r>
            </m:e>
          </m:d>
          <m:r>
            <m:rPr>
              <m:sty m:val="p"/>
            </m:rPr>
            <m:t>,</m:t>
          </m:r>
          <m:r>
            <m:t>  </m:t>
          </m:r>
          <m:r>
            <m:t>M</m:t>
          </m:r>
          <m:r>
            <m:rPr>
              <m:sty m:val="p"/>
            </m:rPr>
            <m:t>=</m:t>
          </m:r>
          <m:sSub>
            <m:e>
              <m:r>
                <m:rPr>
                  <m:sty m:val="p"/>
                </m:rPr>
                <m:t>GCM.Dec</m:t>
              </m:r>
            </m:e>
            <m:sub>
              <m:r>
                <m:t>K</m:t>
              </m:r>
            </m:sub>
          </m:sSub>
          <m:d>
            <m:dPr>
              <m:begChr m:val="("/>
              <m:endChr m:val=")"/>
              <m:sepChr m:val=""/>
              <m:grow/>
            </m:dPr>
            <m:e>
              <m:r>
                <m:t>N</m:t>
              </m:r>
              <m:r>
                <m:rPr>
                  <m:sty m:val="p"/>
                </m:rPr>
                <m:t>,</m:t>
              </m:r>
              <m:r>
                <m:t>C</m:t>
              </m:r>
              <m:r>
                <m:rPr>
                  <m:sty m:val="p"/>
                </m:rPr>
                <m:t>,</m:t>
              </m:r>
              <m:r>
                <m:t>T</m:t>
              </m:r>
              <m:r>
                <m:rPr>
                  <m:sty m:val="p"/>
                </m:rPr>
                <m:t>,</m:t>
              </m:r>
              <m:r>
                <m:t>A</m:t>
              </m:r>
            </m:e>
          </m:d>
        </m:oMath>
      </m:oMathPara>
    </w:p>
    <w:p>
      <w:pPr>
        <w:pStyle w:val="FirstParagraph"/>
      </w:pPr>
      <w:r>
        <w:t xml:space="preserve">仅在认证成功时输出明文。参考构造采用由四字节会话前缀和大端 64 位计数器组成的 96 位随机数，并采用 128 位认证标签。每个仅有一个发送者的单向会话必须使用全新 256 位密钥；任一端点重启或状态回滚都必须启用新密钥和新会话。协议将</w:t>
      </w:r>
      <w:r>
        <w:t xml:space="preserve"> </w:t>
      </w:r>
      <w:r>
        <w:rPr>
          <w:rStyle w:val="VerbatimChar"/>
        </w:rPr>
        <w:t xml:space="preserve">version</w:t>
      </w:r>
      <w:r>
        <w:t xml:space="preserve">、</w:t>
      </w:r>
      <w:r>
        <w:rPr>
          <w:rStyle w:val="VerbatimChar"/>
        </w:rPr>
        <w:t xml:space="preserve">device_id</w:t>
      </w:r>
      <w:r>
        <w:t xml:space="preserve">、</w:t>
      </w:r>
      <w:r>
        <w:rPr>
          <w:rStyle w:val="VerbatimChar"/>
        </w:rPr>
        <w:t xml:space="preserve">session_id</w:t>
      </w:r>
      <w:r>
        <w:t xml:space="preserve">、</w:t>
      </w:r>
      <w:r>
        <w:rPr>
          <w:rStyle w:val="VerbatimChar"/>
        </w:rPr>
        <w:t xml:space="preserve">message_type</w:t>
      </w:r>
      <w:r>
        <w:t xml:space="preserve"> </w:t>
      </w:r>
      <w:r>
        <w:t xml:space="preserve">和</w:t>
      </w:r>
      <w:r>
        <w:t xml:space="preserve"> </w:t>
      </w:r>
      <w:r>
        <w:rPr>
          <w:rStyle w:val="VerbatimChar"/>
        </w:rPr>
        <w:t xml:space="preserve">counter</w:t>
      </w:r>
      <w:r>
        <w:t xml:space="preserve"> </w:t>
      </w:r>
      <w:r>
        <w:t xml:space="preserve">绑定为附加认证数据，使用键排序、无可选空白的 ASCII JSON 编码。接收端先认证，再要求计数器大于已接受水位；允许跳号，但拒绝重复或乱序旧包，包括合法但延迟到达的数据包。无效数据包不能推进防重放状态。计数器耗尽时拒绝发送而非回绕；参考实现还设置默认</w:t>
      </w:r>
      <w:r>
        <w:t xml:space="preserve"> </w:t>
      </w:r>
      <m:oMath>
        <m:sSup>
          <m:e>
            <m:r>
              <m:t>2</m:t>
            </m:r>
          </m:e>
          <m:sup>
            <m:r>
              <m:t>20</m:t>
            </m:r>
          </m:sup>
        </m:sSup>
      </m:oMath>
      <w:r>
        <w:t xml:space="preserve"> </w:t>
      </w:r>
      <w:r>
        <w:t xml:space="preserve">条消息预算和 16,384 字节载荷上限。这些应用限制并非完整的部署密钥生命周期策略。</w:t>
      </w:r>
    </w:p>
    <w:p>
      <w:pPr>
        <w:pStyle w:val="BodyText"/>
      </w:pPr>
      <w:r>
        <w:t xml:space="preserve">GCM 的机密性与完整性保证依赖其使用假设，包括同一密钥下的随机数唯一性</w:t>
      </w:r>
      <w:r>
        <w:t xml:space="preserve"> </w:t>
      </w:r>
      <w:r>
        <w:t xml:space="preserve">(Dworkin 2007; McGrew 2008)</w:t>
      </w:r>
      <w:r>
        <w:t xml:space="preserve">。防重放策略是额外的协议机制。对数据包篡改、错误密钥、重复数据包及状态处理的测试提供实现证据，而非新的安全证明。</w:t>
      </w:r>
    </w:p>
    <w:p>
      <w:pPr>
        <w:pStyle w:val="BodyText"/>
      </w:pPr>
      <w:r>
        <w:t xml:space="preserve">该机制不能认证标签与基站之间的物理距离。被攻陷的传感器可以认证错误数值；发生在加密之前的测距操纵不会被加密修复。参考实现未证明能够抵抗 UWB 中继攻击、流量分析、密钥泄露、拒绝服务或不安全的控制决策，也不提供密钥分发、安全存储或部署认证。在提出实时部署主张之前，必须在目标硬件上测量端到端延迟、功耗和内存。</w:t>
      </w:r>
    </w:p>
    <w:bookmarkEnd w:id="32"/>
    <w:bookmarkStart w:id="36" w:name="实验方案"/>
    <w:p>
      <w:pPr>
        <w:pStyle w:val="Heading1"/>
      </w:pPr>
      <w:r>
        <w:t xml:space="preserve">6. 实验方案</w:t>
      </w:r>
    </w:p>
    <w:bookmarkStart w:id="33" w:name="合成数据与场景"/>
    <w:p>
      <w:pPr>
        <w:pStyle w:val="Heading2"/>
      </w:pPr>
      <w:r>
        <w:t xml:space="preserve">6.1. 合成数据与场景</w:t>
      </w:r>
    </w:p>
    <w:p>
      <w:pPr>
        <w:pStyle w:val="FirstParagraph"/>
      </w:pPr>
      <w:r>
        <w:t xml:space="preserve">仿真器生成运动学一致的位置、速度、姿态、机体系比力及角增量。它不是四旋翼动力学模型，也不是电磁传播仿真器。默认时长为 30 s，IMU 频率为 100 Hz，UWB 观测频率为 10 Hz。三维正弦轨迹位于</w:t>
      </w:r>
      <w:r>
        <w:t xml:space="preserve"> </w:t>
      </w:r>
      <m:oMath>
        <m:r>
          <m:t>10</m:t>
        </m:r>
        <m:r>
          <m:rPr>
            <m:sty m:val="p"/>
          </m:rPr>
          <m:t>×</m:t>
        </m:r>
        <m:r>
          <m:t>8</m:t>
        </m:r>
      </m:oMath>
      <w:r>
        <w:t xml:space="preserve"> </w:t>
      </w:r>
      <w:r>
        <w:t xml:space="preserve">m 的水平基站布局内，六个基站高度交替为 0.3 m 和 2.8 m。精确基站坐标、轨迹方程、随机种子及全部参数随可执行配置存储。</w:t>
      </w:r>
    </w:p>
    <w:p>
      <w:pPr>
        <w:pStyle w:val="BodyText"/>
      </w:pPr>
      <w:r>
        <w:t xml:space="preserve">默认标准差为：视距测距 0.08 m，每个加速度计采样点</w:t>
      </w:r>
      <w:r>
        <w:t xml:space="preserve"> </w:t>
      </w:r>
      <m:oMath>
        <m:r>
          <m:t>0.03</m:t>
        </m:r>
        <m:r>
          <m:t> </m:t>
        </m:r>
        <m:r>
          <m:rPr>
            <m:sty m:val="p"/>
          </m:rPr>
          <m:t>m</m:t>
        </m:r>
        <m:r>
          <m:rPr>
            <m:sty m:val="p"/>
          </m:rPr>
          <m:t> </m:t>
        </m:r>
        <m:sSup>
          <m:e>
            <m:r>
              <m:rPr>
                <m:sty m:val="p"/>
              </m:rPr>
              <m:t>s</m:t>
            </m:r>
          </m:e>
          <m:sup>
            <m:r>
              <m:rPr>
                <m:sty m:val="p"/>
              </m:rPr>
              <m:t>−</m:t>
            </m:r>
            <m:r>
              <m:rPr>
                <m:sty m:val="p"/>
              </m:rPr>
              <m:t>2</m:t>
            </m:r>
          </m:sup>
        </m:sSup>
      </m:oMath>
      <w:r>
        <w:t xml:space="preserve">，每个陀螺仪采样点</w:t>
      </w:r>
      <w:r>
        <w:t xml:space="preserve"> </w:t>
      </w:r>
      <m:oMath>
        <m:r>
          <m:t>0.001</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。加速度计与陀螺仪零偏随机游走幅度分别为</w:t>
      </w:r>
      <w:r>
        <w:t xml:space="preserve"> </w:t>
      </w:r>
      <m:oMath>
        <m:r>
          <m:t>0.0001</m:t>
        </m:r>
        <m:r>
          <m:t> </m:t>
        </m:r>
        <m:r>
          <m:rPr>
            <m:sty m:val="p"/>
          </m:rPr>
          <m:t>m</m:t>
        </m:r>
        <m:r>
          <m:rPr>
            <m:sty m:val="p"/>
          </m:rPr>
          <m:t> </m:t>
        </m:r>
        <m:sSup>
          <m:e>
            <m:r>
              <m:rPr>
                <m:sty m:val="p"/>
              </m:rPr>
              <m:t>s</m:t>
            </m:r>
          </m:e>
          <m:sup>
            <m:r>
              <m:rPr>
                <m:sty m:val="p"/>
              </m:rPr>
              <m:t>−</m:t>
            </m:r>
            <m:r>
              <m:rPr>
                <m:sty m:val="p"/>
              </m:rPr>
              <m:t>2</m:t>
            </m:r>
          </m:sup>
        </m:sSup>
        <m:r>
          <m:rPr>
            <m:sty m:val="p"/>
          </m:rPr>
          <m:t>/</m:t>
        </m:r>
        <m:rad>
          <m:radPr>
            <m:degHide m:val="on"/>
          </m:radPr>
          <m:deg/>
          <m:e>
            <m:r>
              <m:rPr>
                <m:sty m:val="p"/>
              </m:rPr>
              <m:t>s</m:t>
            </m:r>
          </m:e>
        </m:rad>
      </m:oMath>
      <w:r>
        <w:t xml:space="preserve"> </w:t>
      </w:r>
      <w:r>
        <w:t xml:space="preserve">和</w:t>
      </w:r>
      <w:r>
        <w:t xml:space="preserve"> </w:t>
      </w:r>
      <m:oMath>
        <m:r>
          <m:t>0.00002</m:t>
        </m:r>
        <m:r>
          <m:t> </m:t>
        </m:r>
        <m:r>
          <m:rPr>
            <m:sty m:val="p"/>
          </m:rPr>
          <m:t>r</m:t>
        </m:r>
        <m:r>
          <m:rPr>
            <m:sty m:val="p"/>
          </m:rPr>
          <m:t>a</m:t>
        </m:r>
        <m:r>
          <m:rPr>
            <m:sty m:val="p"/>
          </m:rPr>
          <m:t>d</m:t>
        </m:r>
        <m:r>
          <m:rPr>
            <m:sty m:val="p"/>
          </m:rPr>
          <m:t> </m:t>
        </m:r>
        <m:sSup>
          <m:e>
            <m:r>
              <m:rPr>
                <m:sty m:val="p"/>
              </m:rPr>
              <m:t>s</m:t>
            </m:r>
          </m:e>
          <m:sup>
            <m:r>
              <m:rPr>
                <m:sty m:val="p"/>
              </m:rPr>
              <m:t>−</m:t>
            </m:r>
            <m:r>
              <m:rPr>
                <m:sty m:val="p"/>
              </m:rPr>
              <m:t>1</m:t>
            </m:r>
          </m:sup>
        </m:sSup>
        <m:r>
          <m:rPr>
            <m:sty m:val="p"/>
          </m:rPr>
          <m:t>/</m:t>
        </m:r>
        <m:rad>
          <m:radPr>
            <m:degHide m:val="on"/>
          </m:radPr>
          <m:deg/>
          <m:e>
            <m:r>
              <m:rPr>
                <m:sty m:val="p"/>
              </m:rPr>
              <m:t>s</m:t>
            </m:r>
          </m:e>
        </m:rad>
      </m:oMath>
      <w:r>
        <w:t xml:space="preserve">。滤波器被赋予相同的名义噪声幅度，这些数值并非由标定数据集估计。这一噪声匹配设置也是理想化假设。初始位置误差为</w:t>
      </w:r>
      <w:r>
        <w:t xml:space="preserve"> </w:t>
      </w:r>
      <m:oMath>
        <m:d>
          <m:dPr>
            <m:begChr m:val="("/>
            <m:endChr m:val=")"/>
            <m:sepChr m:val=""/>
            <m:grow/>
          </m:dPr>
          <m:e>
            <m:r>
              <m:t>0.25</m:t>
            </m:r>
            <m:r>
              <m:rPr>
                <m:sty m:val="p"/>
              </m:rPr>
              <m:t>,</m:t>
            </m:r>
            <m:r>
              <m:rPr>
                <m:sty m:val="p"/>
              </m:rPr>
              <m:t>−</m:t>
            </m:r>
            <m:r>
              <m:t>0.20</m:t>
            </m:r>
            <m:r>
              <m:rPr>
                <m:sty m:val="p"/>
              </m:rPr>
              <m:t>,</m:t>
            </m:r>
            <m:r>
              <m:t>0.15</m:t>
            </m:r>
          </m:e>
        </m:d>
      </m:oMath>
      <w:r>
        <w:t xml:space="preserve"> </w:t>
      </w:r>
      <w:r>
        <w:t xml:space="preserve">m，初始速度误差为</w:t>
      </w:r>
      <w:r>
        <w:t xml:space="preserve"> </w:t>
      </w:r>
      <m:oMath>
        <m:d>
          <m:dPr>
            <m:begChr m:val="("/>
            <m:endChr m:val=")"/>
            <m:sepChr m:val=""/>
            <m:grow/>
          </m:dPr>
          <m:e>
            <m:r>
              <m:t>0.03</m:t>
            </m:r>
            <m:r>
              <m:rPr>
                <m:sty m:val="p"/>
              </m:rPr>
              <m:t>,</m:t>
            </m:r>
            <m:r>
              <m:rPr>
                <m:sty m:val="p"/>
              </m:rPr>
              <m:t>−</m:t>
            </m:r>
            <m:r>
              <m:t>0.02</m:t>
            </m:r>
            <m:r>
              <m:rPr>
                <m:sty m:val="p"/>
              </m:rPr>
              <m:t>,</m:t>
            </m:r>
            <m:r>
              <m:t>0.02</m:t>
            </m:r>
          </m:e>
        </m:d>
      </m:oMath>
      <w:r>
        <w:t xml:space="preserve"> </w:t>
      </w:r>
      <w:r>
        <w:t xml:space="preserve">m/s，初始局部姿态旋转向量扰动为</w:t>
      </w:r>
      <w:r>
        <w:t xml:space="preserve"> </w:t>
      </w:r>
      <m:oMath>
        <m:d>
          <m:dPr>
            <m:begChr m:val="("/>
            <m:endChr m:val=")"/>
            <m:sepChr m:val=""/>
            <m:grow/>
          </m:dPr>
          <m:e>
            <m:r>
              <m:t>0.7</m:t>
            </m:r>
            <m:r>
              <m:rPr>
                <m:sty m:val="p"/>
              </m:rPr>
              <m:t>,</m:t>
            </m:r>
            <m:r>
              <m:rPr>
                <m:sty m:val="p"/>
              </m:rPr>
              <m:t>−</m:t>
            </m:r>
            <m:r>
              <m:t>0.5</m:t>
            </m:r>
            <m:r>
              <m:rPr>
                <m:sty m:val="p"/>
              </m:rPr>
              <m:t>,</m:t>
            </m:r>
            <m:r>
              <m:t>1.5</m:t>
            </m:r>
          </m:e>
        </m:d>
      </m:oMath>
      <w:r>
        <w:t xml:space="preserve"> </w:t>
      </w:r>
      <w:r>
        <w:t xml:space="preserve">度。初始协方差为对角阵，位置、速度、姿态误差、加速度计零偏和陀螺仪零偏各分量的标准差依次为 0.5 m、0.2 m/s、3 度、</w:t>
      </w:r>
      <m:oMath>
        <m:r>
          <m:t>0.1</m:t>
        </m:r>
        <m:r>
          <m:t> </m:t>
        </m:r>
        <m:r>
          <m:rPr>
            <m:sty m:val="p"/>
          </m:rPr>
          <m:t>m</m:t>
        </m:r>
        <m:r>
          <m:rPr>
            <m:sty m:val="p"/>
          </m:rPr>
          <m:t> </m:t>
        </m:r>
        <m:sSup>
          <m:e>
            <m:r>
              <m:rPr>
                <m:sty m:val="p"/>
              </m:rPr>
              <m:t>s</m:t>
            </m:r>
          </m:e>
          <m:sup>
            <m:r>
              <m:rPr>
                <m:sty m:val="p"/>
              </m:rPr>
              <m:t>−</m:t>
            </m:r>
            <m:r>
              <m:rPr>
                <m:sty m:val="p"/>
              </m:rPr>
              <m:t>2</m:t>
            </m:r>
          </m:sup>
        </m:sSup>
      </m:oMath>
      <w:r>
        <w:t xml:space="preserve"> </w:t>
      </w:r>
      <w:r>
        <w:t xml:space="preserve">和</w:t>
      </w:r>
      <w:r>
        <w:t xml:space="preserve"> </w:t>
      </w:r>
      <m:oMath>
        <m:r>
          <m:t>0.005</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。这些是合成条件，并非对特定 IMU 或 UWB 产品的测量结果。</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受控扰动</w:t>
            </w:r>
          </w:p>
        </w:tc>
      </w:tr>
      <w:tr>
        <w:tc>
          <w:tcPr/>
          <w:p>
            <w:pPr>
              <w:pStyle w:val="Compact"/>
              <w:jc w:val="left"/>
            </w:pPr>
            <w:r>
              <w:rPr>
                <w:rStyle w:val="VerbatimChar"/>
              </w:rPr>
              <w:t xml:space="preserve">los</w:t>
            </w:r>
          </w:p>
        </w:tc>
        <w:tc>
          <w:tcPr/>
          <w:p>
            <w:pPr>
              <w:pStyle w:val="Compact"/>
              <w:jc w:val="left"/>
            </w:pPr>
            <w:r>
              <w:t xml:space="preserve">仅零均值测距噪声</w:t>
            </w:r>
          </w:p>
        </w:tc>
      </w:tr>
      <w:tr>
        <w:tc>
          <w:tcPr/>
          <w:p>
            <w:pPr>
              <w:pStyle w:val="Compact"/>
              <w:jc w:val="left"/>
            </w:pPr>
            <w:r>
              <w:rPr>
                <w:rStyle w:val="VerbatimChar"/>
              </w:rPr>
              <w:t xml:space="preserve">nlos</w:t>
            </w:r>
          </w:p>
        </w:tc>
        <w:tc>
          <w:tcPr/>
          <w:p>
            <w:pPr>
              <w:pStyle w:val="Compact"/>
              <w:jc w:val="left"/>
            </w:pPr>
            <w:r>
              <w:t xml:space="preserve">在</w:t>
            </w:r>
            <w:r>
              <w:t xml:space="preserve"> </w:t>
            </w:r>
            <m:oMath>
              <m:r>
                <m:rPr>
                  <m:sty m:val="p"/>
                </m:rPr>
                <m:t>[</m:t>
              </m:r>
              <m:r>
                <m:t>8</m:t>
              </m:r>
              <m:r>
                <m:rPr>
                  <m:sty m:val="p"/>
                </m:rPr>
                <m:t>,</m:t>
              </m:r>
              <m:r>
                <m:t>14</m:t>
              </m:r>
              <m:r>
                <m:rPr>
                  <m:sty m:val="p"/>
                </m:rPr>
                <m:t>)</m:t>
              </m:r>
            </m:oMath>
            <w:r>
              <w:t xml:space="preserve"> </w:t>
            </w:r>
            <w:r>
              <w:t xml:space="preserve">s 对基站 0、1，以及在</w:t>
            </w:r>
            <w:r>
              <w:t xml:space="preserve"> </w:t>
            </w:r>
            <m:oMath>
              <m:r>
                <m:rPr>
                  <m:sty m:val="p"/>
                </m:rPr>
                <m:t>[</m:t>
              </m:r>
              <m:r>
                <m:t>20</m:t>
              </m:r>
              <m:r>
                <m:rPr>
                  <m:sty m:val="p"/>
                </m:rPr>
                <m:t>,</m:t>
              </m:r>
              <m:r>
                <m:t>24</m:t>
              </m:r>
              <m:r>
                <m:rPr>
                  <m:sty m:val="p"/>
                </m:rPr>
                <m:t>)</m:t>
              </m:r>
            </m:oMath>
            <w:r>
              <w:t xml:space="preserve"> </w:t>
            </w:r>
            <w:r>
              <w:t xml:space="preserve">s 对基站 3，叠加</w:t>
            </w:r>
            <w:r>
              <w:t xml:space="preserve"> </w:t>
            </w:r>
            <m:oMath>
              <m:r>
                <m:t>0.6</m:t>
              </m:r>
              <m:r>
                <m:rPr>
                  <m:sty m:val="p"/>
                </m:rPr>
                <m:t>+</m:t>
              </m:r>
              <m:r>
                <m:t>E</m:t>
              </m:r>
            </m:oMath>
            <w:r>
              <w:t xml:space="preserve"> </w:t>
            </w:r>
            <w:r>
              <w:t xml:space="preserve">m，其中</w:t>
            </w:r>
            <w:r>
              <w:t xml:space="preserve"> </w:t>
            </w:r>
            <m:oMath>
              <m:r>
                <m:t>E</m:t>
              </m:r>
              <m:r>
                <m:rPr>
                  <m:sty m:val="p"/>
                </m:rPr>
                <m:t>∼</m:t>
              </m:r>
              <m:r>
                <m:rPr>
                  <m:sty m:val="p"/>
                </m:rPr>
                <m:t>Exponential</m:t>
              </m:r>
              <m:d>
                <m:dPr>
                  <m:begChr m:val="("/>
                  <m:endChr m:val=")"/>
                  <m:sepChr m:val=""/>
                  <m:grow/>
                </m:dPr>
                <m:e>
                  <m:r>
                    <m:rPr>
                      <m:nor/>
                      <m:sty m:val="p"/>
                    </m:rPr>
                    <m:t>mean </m:t>
                  </m:r>
                  <m:r>
                    <m:t>0.25</m:t>
                  </m:r>
                  <m:r>
                    <m:t> </m:t>
                  </m:r>
                  <m:r>
                    <m:rPr>
                      <m:sty m:val="p"/>
                    </m:rPr>
                    <m:t>m</m:t>
                  </m:r>
                </m:e>
              </m:d>
            </m:oMath>
          </w:p>
        </w:tc>
      </w:tr>
      <w:tr>
        <w:tc>
          <w:tcPr/>
          <w:p>
            <w:pPr>
              <w:pStyle w:val="Compact"/>
              <w:jc w:val="left"/>
            </w:pPr>
            <w:r>
              <w:rPr>
                <w:rStyle w:val="VerbatimChar"/>
              </w:rPr>
              <w:t xml:space="preserve">dropout</w:t>
            </w:r>
          </w:p>
        </w:tc>
        <w:tc>
          <w:tcPr/>
          <w:p>
            <w:pPr>
              <w:pStyle w:val="Compact"/>
              <w:jc w:val="left"/>
            </w:pPr>
            <w:r>
              <w:t xml:space="preserve">在</w:t>
            </w:r>
            <w:r>
              <w:t xml:space="preserve"> </w:t>
            </w:r>
            <m:oMath>
              <m:r>
                <m:rPr>
                  <m:sty m:val="p"/>
                </m:rPr>
                <m:t>[</m:t>
              </m:r>
              <m:r>
                <m:t>15</m:t>
              </m:r>
              <m:r>
                <m:rPr>
                  <m:sty m:val="p"/>
                </m:rPr>
                <m:t>,</m:t>
              </m:r>
              <m:r>
                <m:t>19</m:t>
              </m:r>
              <m:r>
                <m:rPr>
                  <m:sty m:val="p"/>
                </m:rPr>
                <m:t>)</m:t>
              </m:r>
            </m:oMath>
            <w:r>
              <w:t xml:space="preserve"> </w:t>
            </w:r>
            <w:r>
              <w:t xml:space="preserve">s 删除全部 UWB 观测</w:t>
            </w:r>
          </w:p>
        </w:tc>
      </w:tr>
      <w:tr>
        <w:tc>
          <w:tcPr/>
          <w:p>
            <w:pPr>
              <w:pStyle w:val="Compact"/>
              <w:jc w:val="left"/>
            </w:pPr>
            <w:r>
              <w:rPr>
                <w:rStyle w:val="VerbatimChar"/>
              </w:rPr>
              <w:t xml:space="preserve">combined</w:t>
            </w:r>
          </w:p>
        </w:tc>
        <w:tc>
          <w:tcPr/>
          <w:p>
            <w:pPr>
              <w:pStyle w:val="Compact"/>
              <w:jc w:val="left"/>
            </w:pPr>
            <w:r>
              <w:t xml:space="preserve">同时采用上述正偏差与完全中断</w:t>
            </w:r>
          </w:p>
        </w:tc>
      </w:tr>
    </w:tbl>
    <w:p>
      <w:pPr>
        <w:pStyle w:val="BodyText"/>
      </w:pPr>
      <w:r>
        <w:t xml:space="preserve">NLOS 区间持续存在，但其中指数分量对受影响观测独立采样。该简化过程未覆盖真实遮挡的全部时间相关性和跨基站相关性。同一随机种子下，各对照方法使用完全相同的数据集。IMU 噪声、零偏随机游走、测距噪声和 NLOS 扰动使用分离的随机流，因此切换场景不会悄然替换底层 IMU 数据实现。</w:t>
      </w:r>
    </w:p>
    <w:bookmarkEnd w:id="33"/>
    <w:bookmarkStart w:id="34" w:name="指标与统计单位"/>
    <w:p>
      <w:pPr>
        <w:pStyle w:val="Heading2"/>
      </w:pPr>
      <w:r>
        <w:t xml:space="preserve">6.2. 指标与统计单位</w:t>
      </w:r>
    </w:p>
    <w:p>
      <w:pPr>
        <w:pStyle w:val="FirstParagraph"/>
      </w:pPr>
      <w:r>
        <w:t xml:space="preserve">对时间戳集合</w:t>
      </w:r>
      <w:r>
        <w:t xml:space="preserve"> </w:t>
      </w:r>
      <m:oMath>
        <m:r>
          <m:rPr>
            <m:sty m:val="p"/>
            <m:scr m:val="script"/>
          </m:rPr>
          <m:t>T</m:t>
        </m:r>
      </m:oMath>
      <w:r>
        <w:t xml:space="preserve"> </w:t>
      </w:r>
      <w:r>
        <w:t xml:space="preserve">中的有效估计，定义</w:t>
      </w:r>
      <w:r>
        <w:t xml:space="preserve"> </w:t>
      </w:r>
      <m:oMath>
        <m:sSub>
          <m:e>
            <m:r>
              <m:t>e</m:t>
            </m:r>
          </m:e>
          <m:sub>
            <m:r>
              <m:t>k</m:t>
            </m:r>
          </m:sub>
        </m:sSub>
        <m:r>
          <m:rPr>
            <m:sty m:val="p"/>
          </m:rPr>
          <m:t>=</m:t>
        </m:r>
        <m:r>
          <m:rPr>
            <m:sty m:val="p"/>
          </m:rPr>
          <m:t>∥</m:t>
        </m:r>
        <m:sSub>
          <m:e>
            <m:acc>
              <m:accPr>
                <m:chr m:val="̂"/>
              </m:accPr>
              <m:e>
                <m:r>
                  <m:t>p</m:t>
                </m:r>
              </m:e>
            </m:acc>
          </m:e>
          <m:sub>
            <m:r>
              <m:t>k</m:t>
            </m:r>
          </m:sub>
        </m:sSub>
        <m:r>
          <m:rPr>
            <m:sty m:val="p"/>
          </m:rPr>
          <m:t>−</m:t>
        </m:r>
        <m:sSub>
          <m:e>
            <m:r>
              <m:t>p</m:t>
            </m:r>
          </m:e>
          <m:sub>
            <m:r>
              <m:t>k</m:t>
            </m:r>
          </m:sub>
        </m:sSub>
        <m:sSub>
          <m:e>
            <m:r>
              <m:rPr>
                <m:sty m:val="p"/>
              </m:rPr>
              <m:t>∥</m:t>
            </m:r>
          </m:e>
          <m:sub>
            <m:r>
              <m:t>2</m:t>
            </m:r>
          </m:sub>
        </m:sSub>
      </m:oMath>
      <w:r>
        <w:t xml:space="preserve">，以及</w:t>
      </w:r>
    </w:p>
    <w:p>
      <w:pPr>
        <w:pStyle w:val="BodyText"/>
      </w:pPr>
      <m:oMathPara>
        <m:oMathParaPr>
          <m:jc m:val="center"/>
        </m:oMathParaPr>
        <m:oMath>
          <m:r>
            <m:rPr>
              <m:sty m:val="p"/>
            </m:rPr>
            <m:t>RMSE</m:t>
          </m:r>
          <m:r>
            <m:rPr>
              <m:sty m:val="p"/>
            </m:rPr>
            <m:t>=</m:t>
          </m:r>
          <m:rad>
            <m:radPr>
              <m:degHide m:val="on"/>
            </m:radPr>
            <m:deg/>
            <m:e>
              <m:f>
                <m:fPr>
                  <m:type m:val="bar"/>
                </m:fPr>
                <m:num>
                  <m:r>
                    <m:t>1</m:t>
                  </m:r>
                </m:num>
                <m:den>
                  <m:d>
                    <m:dPr>
                      <m:begChr m:val="|"/>
                      <m:endChr m:val="|"/>
                      <m:sepChr m:val=""/>
                      <m:grow/>
                    </m:dPr>
                    <m:e>
                      <m:r>
                        <m:rPr>
                          <m:sty m:val="p"/>
                          <m:scr m:val="script"/>
                        </m:rPr>
                        <m:t>T</m:t>
                      </m:r>
                    </m:e>
                  </m:d>
                </m:den>
              </m:f>
              <m:nary>
                <m:naryPr>
                  <m:chr m:val="∑"/>
                  <m:limLoc m:val="undOvr"/>
                  <m:subHide m:val="off"/>
                  <m:supHide m:val="on"/>
                </m:naryPr>
                <m:sub>
                  <m:r>
                    <m:t>k</m:t>
                  </m:r>
                  <m:r>
                    <m:rPr>
                      <m:sty m:val="p"/>
                    </m:rPr>
                    <m:t>∈</m:t>
                  </m:r>
                  <m:r>
                    <m:rPr>
                      <m:sty m:val="p"/>
                      <m:scr m:val="script"/>
                    </m:rPr>
                    <m:t>T</m:t>
                  </m:r>
                </m:sub>
                <m:sup>
                  <m:r>
                    <m:t>​</m:t>
                  </m:r>
                </m:sup>
                <m:e>
                  <m:sSubSup>
                    <m:e>
                      <m:r>
                        <m:t>e</m:t>
                      </m:r>
                    </m:e>
                    <m:sub>
                      <m:r>
                        <m:t>k</m:t>
                      </m:r>
                    </m:sub>
                    <m:sup>
                      <m:r>
                        <m:t>2</m:t>
                      </m:r>
                    </m:sup>
                  </m:sSubSup>
                </m:e>
              </m:nary>
            </m:e>
          </m:rad>
          <m:r>
            <m:rPr>
              <m:sty m:val="p"/>
            </m:rPr>
            <m:t>.</m:t>
          </m:r>
        </m:oMath>
      </m:oMathPara>
    </w:p>
    <w:p>
      <w:pPr>
        <w:pStyle w:val="FirstParagraph"/>
      </w:pPr>
      <w:r>
        <w:t xml:space="preserve">尾部误差、最大误差、输出可用率及测距接受/剔除数量补充 RMSE。可用率表示计划时间戳中产生有效数值输出的比例，并不保证输出准确。纯 UWB 方法在可求解的测距时刻输出估计，而惯性与融合方法按 IMU 频率输出。因此，原生输出频率下的误差使用不同时间支持集。跨方法比较还必须使用共同有效的测距时刻，并保留 UWB 中断期间纯 UWB 输出缺失这一事实。</w:t>
      </w:r>
    </w:p>
    <w:p>
      <w:pPr>
        <w:pStyle w:val="BodyText"/>
      </w:pPr>
      <w:r>
        <w:t xml:space="preserve">参考方案为每个场景指定十个评估种子 100–109。种子 0–4 预留给标定或开发，但未实现或宣称完成参数拟合。独立仿真运行是统计单位；密集轨迹采样点具有时间相关性，不能作为独立重复。场景汇总采用各运行 RMSE 的均值，以及跨种子的双侧 95% Student-</w:t>
      </w:r>
      <m:oMath>
        <m:r>
          <m:t>t</m:t>
        </m:r>
      </m:oMath>
      <w:r>
        <w:t xml:space="preserve"> </w:t>
      </w:r>
      <w:r>
        <w:t xml:space="preserve">区间。两两差值使用同一种子下</w:t>
      </w:r>
      <w:r>
        <w:t xml:space="preserve"> </w:t>
      </w:r>
      <w:r>
        <w:rPr>
          <w:rStyle w:val="VerbatimChar"/>
        </w:rPr>
        <w:t xml:space="preserve">robust_eskf</w:t>
      </w:r>
      <w:r>
        <w:t xml:space="preserve"> </w:t>
      </w:r>
      <w:r>
        <w:t xml:space="preserve">的 RMSE 减去对照方法 RMSE，并同样计算 Student-</w:t>
      </w:r>
      <m:oMath>
        <m:r>
          <m:t>t</m:t>
        </m:r>
      </m:oMath>
      <w:r>
        <w:t xml:space="preserve"> </w:t>
      </w:r>
      <w:r>
        <w:t xml:space="preserve">区间。比较属于探索性分析，未进行多重比较校正；它们量化的是该生成器下的变化，而不是所有房间、轨迹或无线条件中的不确定性。门限为固定开发选择，尚未使用留出的真实数据集验证。</w:t>
      </w:r>
    </w:p>
    <w:bookmarkEnd w:id="34"/>
    <w:bookmarkStart w:id="35" w:name="可复现性与检查"/>
    <w:p>
      <w:pPr>
        <w:pStyle w:val="Heading2"/>
      </w:pPr>
      <w:r>
        <w:t xml:space="preserve">6.3. 可复现性与检查</w:t>
      </w:r>
    </w:p>
    <w:p>
      <w:pPr>
        <w:pStyle w:val="FirstParagraph"/>
      </w:pPr>
      <w:r>
        <w:t xml:space="preserve">仓库保留代码、配置、传感器生成假设、数据来源和结果文件。数值检查覆盖测距雅可比及状态约定，受控轨迹检查递推与更新；安全检查单独报告。软件测试通过表示在所测试条件下的行为符合预期，不代表任意运动下收敛、协方差已正确标定或系统安全。</w:t>
      </w:r>
    </w:p>
    <w:p>
      <w:pPr>
        <w:pStyle w:val="BodyText"/>
      </w:pPr>
      <w:r>
        <w:t xml:space="preserve">每个数值表格必须由记录在案的运行生成，并指明配置和数据支持集。运行时间测量必须说明平台与计时内容。主机上的 Python 耗时不能证明机载吞吐率或延迟上界。公共数据在进入分析前必须验证单位、时钟对齐、外参及观测语义。</w:t>
      </w:r>
    </w:p>
    <w:bookmarkEnd w:id="35"/>
    <w:bookmarkEnd w:id="36"/>
    <w:bookmarkStart w:id="44" w:name="结果与证据状态"/>
    <w:p>
      <w:pPr>
        <w:pStyle w:val="Heading1"/>
      </w:pPr>
      <w:r>
        <w:t xml:space="preserve">7. 结果与证据状态</w:t>
      </w:r>
    </w:p>
    <w:bookmarkStart w:id="40" w:name="合成定位研究"/>
    <w:p>
      <w:pPr>
        <w:pStyle w:val="Heading2"/>
      </w:pPr>
      <w:r>
        <w:t xml:space="preserve">7.1. 合成定位研究</w:t>
      </w:r>
    </w:p>
    <w:p>
      <w:pPr>
        <w:pStyle w:val="FirstParagraph"/>
      </w:pPr>
      <w:r>
        <w:t xml:space="preserve">参考研究于 2026 年 10 月 23 日完成，包含四个场景、每场景十个配对噪声种子和六个估计器，共 240 次估计器运行。执行清单记录了代码版本</w:t>
      </w:r>
      <w:r>
        <w:t xml:space="preserve"> </w:t>
      </w:r>
      <w:r>
        <w:rPr>
          <w:rStyle w:val="VerbatimChar"/>
        </w:rPr>
        <w:t xml:space="preserve">4686451a6923c579e971c84ba7b5b367b6e814b9</w:t>
      </w:r>
      <w:r>
        <w:t xml:space="preserve">、解析后的配置及源码哈希。写作和结果生成活动使仓库工作区处于非干净状态；记录的估计器、仿真器、几何模块及运行脚本哈希确定了实际执行实现。结果来自同一预设轨迹下噪声与零偏随机游走变化的合成数据，并非 40 次独立真实飞行。</w:t>
      </w:r>
    </w:p>
    <w:p>
      <w:pPr>
        <w:pStyle w:val="BodyText"/>
      </w:pPr>
      <w:r>
        <w:t xml:space="preserve">表 1 给出</w:t>
      </w:r>
      <w:r>
        <w:t xml:space="preserve"> </w:t>
      </w:r>
      <w:r>
        <w:rPr>
          <w:rStyle w:val="VerbatimChar"/>
        </w:rPr>
        <w:t xml:space="preserve">common_observed_uwb</w:t>
      </w:r>
      <w:r>
        <w:t xml:space="preserve"> </w:t>
      </w:r>
      <w:r>
        <w:t xml:space="preserve">时间戳上各运行定位 RMSE 的均值，单位为米。每个纳入时间戳均至少存在四条观测距离，并且六种方法均输出有限位置估计。全部条目的完整区间保存在</w:t>
      </w:r>
      <w:r>
        <w:t xml:space="preserve"> </w:t>
      </w:r>
      <w:r>
        <w:rPr>
          <w:rStyle w:val="VerbatimChar"/>
        </w:rPr>
        <w:t xml:space="preserve">summary_metrics.csv</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方法</w:t>
            </w:r>
          </w:p>
        </w:tc>
        <w:tc>
          <w:tcPr/>
          <w:p>
            <w:pPr>
              <w:pStyle w:val="Compact"/>
              <w:jc w:val="right"/>
            </w:pPr>
            <w:r>
              <w:t xml:space="preserve">LOS</w:t>
            </w:r>
          </w:p>
        </w:tc>
        <w:tc>
          <w:tcPr/>
          <w:p>
            <w:pPr>
              <w:pStyle w:val="Compact"/>
              <w:jc w:val="right"/>
            </w:pPr>
            <w:r>
              <w:t xml:space="preserve">NLOS</w:t>
            </w:r>
          </w:p>
        </w:tc>
        <w:tc>
          <w:tcPr/>
          <w:p>
            <w:pPr>
              <w:pStyle w:val="Compact"/>
              <w:jc w:val="right"/>
            </w:pPr>
            <w:r>
              <w:t xml:space="preserve">中断</w:t>
            </w:r>
          </w:p>
        </w:tc>
        <w:tc>
          <w:tcPr/>
          <w:p>
            <w:pPr>
              <w:pStyle w:val="Compact"/>
              <w:jc w:val="right"/>
            </w:pPr>
            <w:r>
              <w:t xml:space="preserve">组合</w:t>
            </w:r>
          </w:p>
        </w:tc>
      </w:tr>
      <w:tr>
        <w:tc>
          <w:tcPr/>
          <w:p>
            <w:pPr>
              <w:pStyle w:val="Compact"/>
              <w:jc w:val="left"/>
            </w:pPr>
            <w:r>
              <w:rPr>
                <w:rStyle w:val="VerbatimChar"/>
              </w:rPr>
              <w:t xml:space="preserve">uwb</w:t>
            </w:r>
          </w:p>
        </w:tc>
        <w:tc>
          <w:tcPr/>
          <w:p>
            <w:pPr>
              <w:pStyle w:val="Compact"/>
              <w:jc w:val="right"/>
            </w:pPr>
            <w:r>
              <w:t xml:space="preserve">0.1839</w:t>
            </w:r>
          </w:p>
        </w:tc>
        <w:tc>
          <w:tcPr/>
          <w:p>
            <w:pPr>
              <w:pStyle w:val="Compact"/>
              <w:jc w:val="right"/>
            </w:pPr>
            <w:r>
              <w:t xml:space="preserve">0.8989</w:t>
            </w:r>
          </w:p>
        </w:tc>
        <w:tc>
          <w:tcPr/>
          <w:p>
            <w:pPr>
              <w:pStyle w:val="Compact"/>
              <w:jc w:val="right"/>
            </w:pPr>
            <w:r>
              <w:t xml:space="preserve">0.1873</w:t>
            </w:r>
          </w:p>
        </w:tc>
        <w:tc>
          <w:tcPr/>
          <w:p>
            <w:pPr>
              <w:pStyle w:val="Compact"/>
              <w:jc w:val="right"/>
            </w:pPr>
            <w:r>
              <w:t xml:space="preserve">0.9634</w:t>
            </w:r>
          </w:p>
        </w:tc>
      </w:tr>
      <w:tr>
        <w:tc>
          <w:tcPr/>
          <w:p>
            <w:pPr>
              <w:pStyle w:val="Compact"/>
              <w:jc w:val="left"/>
            </w:pPr>
            <w:r>
              <w:rPr>
                <w:rStyle w:val="VerbatimChar"/>
              </w:rPr>
              <w:t xml:space="preserve">ins</w:t>
            </w:r>
          </w:p>
        </w:tc>
        <w:tc>
          <w:tcPr/>
          <w:p>
            <w:pPr>
              <w:pStyle w:val="Compact"/>
              <w:jc w:val="right"/>
            </w:pPr>
            <w:r>
              <w:t xml:space="preserve">40.4813</w:t>
            </w:r>
          </w:p>
        </w:tc>
        <w:tc>
          <w:tcPr/>
          <w:p>
            <w:pPr>
              <w:pStyle w:val="Compact"/>
              <w:jc w:val="right"/>
            </w:pPr>
            <w:r>
              <w:t xml:space="preserve">40.4931</w:t>
            </w:r>
          </w:p>
        </w:tc>
        <w:tc>
          <w:tcPr/>
          <w:p>
            <w:pPr>
              <w:pStyle w:val="Compact"/>
              <w:jc w:val="right"/>
            </w:pPr>
            <w:r>
              <w:t xml:space="preserve">42.1235</w:t>
            </w:r>
          </w:p>
        </w:tc>
        <w:tc>
          <w:tcPr/>
          <w:p>
            <w:pPr>
              <w:pStyle w:val="Compact"/>
              <w:jc w:val="right"/>
            </w:pPr>
            <w:r>
              <w:t xml:space="preserve">42.1378</w:t>
            </w:r>
          </w:p>
        </w:tc>
      </w:tr>
      <w:tr>
        <w:tc>
          <w:tcPr/>
          <w:p>
            <w:pPr>
              <w:pStyle w:val="Compact"/>
              <w:jc w:val="left"/>
            </w:pPr>
            <w:r>
              <w:rPr>
                <w:rStyle w:val="VerbatimChar"/>
              </w:rPr>
              <w:t xml:space="preserve">eskf</w:t>
            </w:r>
          </w:p>
        </w:tc>
        <w:tc>
          <w:tcPr/>
          <w:p>
            <w:pPr>
              <w:pStyle w:val="Compact"/>
              <w:jc w:val="right"/>
            </w:pPr>
            <w:r>
              <w:t xml:space="preserve">0.0594</w:t>
            </w:r>
          </w:p>
        </w:tc>
        <w:tc>
          <w:tcPr/>
          <w:p>
            <w:pPr>
              <w:pStyle w:val="Compact"/>
              <w:jc w:val="right"/>
            </w:pPr>
            <w:r>
              <w:t xml:space="preserve">1.1345</w:t>
            </w:r>
          </w:p>
        </w:tc>
        <w:tc>
          <w:tcPr/>
          <w:p>
            <w:pPr>
              <w:pStyle w:val="Compact"/>
              <w:jc w:val="right"/>
            </w:pPr>
            <w:r>
              <w:t xml:space="preserve">0.0607</w:t>
            </w:r>
          </w:p>
        </w:tc>
        <w:tc>
          <w:tcPr/>
          <w:p>
            <w:pPr>
              <w:pStyle w:val="Compact"/>
              <w:jc w:val="right"/>
            </w:pPr>
            <w:r>
              <w:t xml:space="preserve">1.1860</w:t>
            </w:r>
          </w:p>
        </w:tc>
      </w:tr>
      <w:tr>
        <w:tc>
          <w:tcPr/>
          <w:p>
            <w:pPr>
              <w:pStyle w:val="Compact"/>
              <w:jc w:val="left"/>
            </w:pPr>
            <w:r>
              <w:rPr>
                <w:rStyle w:val="VerbatimChar"/>
              </w:rPr>
              <w:t xml:space="preserve">gated_eskf</w:t>
            </w:r>
          </w:p>
        </w:tc>
        <w:tc>
          <w:tcPr/>
          <w:p>
            <w:pPr>
              <w:pStyle w:val="Compact"/>
              <w:jc w:val="right"/>
            </w:pPr>
            <w:r>
              <w:t xml:space="preserve">0.0597</w:t>
            </w:r>
          </w:p>
        </w:tc>
        <w:tc>
          <w:tcPr/>
          <w:p>
            <w:pPr>
              <w:pStyle w:val="Compact"/>
              <w:jc w:val="right"/>
            </w:pPr>
            <w:r>
              <w:t xml:space="preserve">0.0657</w:t>
            </w:r>
          </w:p>
        </w:tc>
        <w:tc>
          <w:tcPr/>
          <w:p>
            <w:pPr>
              <w:pStyle w:val="Compact"/>
              <w:jc w:val="right"/>
            </w:pPr>
            <w:r>
              <w:t xml:space="preserve">0.0611</w:t>
            </w:r>
          </w:p>
        </w:tc>
        <w:tc>
          <w:tcPr/>
          <w:p>
            <w:pPr>
              <w:pStyle w:val="Compact"/>
              <w:jc w:val="right"/>
            </w:pPr>
            <w:r>
              <w:t xml:space="preserve">0.0679</w:t>
            </w:r>
          </w:p>
        </w:tc>
      </w:tr>
      <w:tr>
        <w:tc>
          <w:tcPr/>
          <w:p>
            <w:pPr>
              <w:pStyle w:val="Compact"/>
              <w:jc w:val="left"/>
            </w:pPr>
            <w:r>
              <w:rPr>
                <w:rStyle w:val="VerbatimChar"/>
              </w:rPr>
              <w:t xml:space="preserve">adaptive_eskf</w:t>
            </w:r>
          </w:p>
        </w:tc>
        <w:tc>
          <w:tcPr/>
          <w:p>
            <w:pPr>
              <w:pStyle w:val="Compact"/>
              <w:jc w:val="right"/>
            </w:pPr>
            <w:r>
              <w:t xml:space="preserve">0.0597</w:t>
            </w:r>
          </w:p>
        </w:tc>
        <w:tc>
          <w:tcPr/>
          <w:p>
            <w:pPr>
              <w:pStyle w:val="Compact"/>
              <w:jc w:val="right"/>
            </w:pPr>
            <w:r>
              <w:t xml:space="preserve">0.4609</w:t>
            </w:r>
          </w:p>
        </w:tc>
        <w:tc>
          <w:tcPr/>
          <w:p>
            <w:pPr>
              <w:pStyle w:val="Compact"/>
              <w:jc w:val="right"/>
            </w:pPr>
            <w:r>
              <w:t xml:space="preserve">0.0611</w:t>
            </w:r>
          </w:p>
        </w:tc>
        <w:tc>
          <w:tcPr/>
          <w:p>
            <w:pPr>
              <w:pStyle w:val="Compact"/>
              <w:jc w:val="right"/>
            </w:pPr>
            <w:r>
              <w:t xml:space="preserve">0.5311</w:t>
            </w:r>
          </w:p>
        </w:tc>
      </w:tr>
      <w:tr>
        <w:tc>
          <w:tcPr/>
          <w:p>
            <w:pPr>
              <w:pStyle w:val="Compact"/>
              <w:jc w:val="left"/>
            </w:pPr>
            <w:r>
              <w:rPr>
                <w:rStyle w:val="VerbatimChar"/>
              </w:rPr>
              <w:t xml:space="preserve">robust_eskf</w:t>
            </w:r>
          </w:p>
        </w:tc>
        <w:tc>
          <w:tcPr/>
          <w:p>
            <w:pPr>
              <w:pStyle w:val="Compact"/>
              <w:jc w:val="right"/>
            </w:pPr>
            <w:r>
              <w:t xml:space="preserve">0.0599</w:t>
            </w:r>
          </w:p>
        </w:tc>
        <w:tc>
          <w:tcPr/>
          <w:p>
            <w:pPr>
              <w:pStyle w:val="Compact"/>
              <w:jc w:val="right"/>
            </w:pPr>
            <w:r>
              <w:t xml:space="preserve">0.0666</w:t>
            </w:r>
          </w:p>
        </w:tc>
        <w:tc>
          <w:tcPr/>
          <w:p>
            <w:pPr>
              <w:pStyle w:val="Compact"/>
              <w:jc w:val="right"/>
            </w:pPr>
            <w:r>
              <w:t xml:space="preserve">0.0613</w:t>
            </w:r>
          </w:p>
        </w:tc>
        <w:tc>
          <w:tcPr/>
          <w:p>
            <w:pPr>
              <w:pStyle w:val="Compact"/>
              <w:jc w:val="right"/>
            </w:pPr>
            <w:r>
              <w:t xml:space="preserve">0.0690</w:t>
            </w:r>
          </w:p>
        </w:tc>
      </w:tr>
    </w:tbl>
    <w:p>
      <w:pPr>
        <w:pStyle w:val="BodyText"/>
      </w:pPr>
      <w:r>
        <w:t xml:space="preserve">LOS 和中断场景的共同支持集分别包含 301 和 261 个时刻。在 NLOS 与组合场景中，UWB 优化器对种子 100 和 107 各有一个时刻未返回成功解。这四个失败解被保留为缺失值，并从共同支持集比较中排除。因此，受影响运行分别具有 300 个 NLOS 时刻或 260 个组合时刻，其余种子保留 301 或 261 个时刻。此条件比较不评估完全中断期间的输出。不同的共同支持集掩码也解释了纯 INS 条目跨场景的小幅变化，尽管同一种子下底层惯性数据相同。</w:t>
      </w:r>
    </w:p>
    <w:p>
      <w:pPr>
        <w:pStyle w:val="BodyText"/>
      </w:pPr>
      <w:r>
        <w:t xml:space="preserve">在这些受控正偏差条件下，两种采用硬门限的方法，其共同观测时刻 RMSE 均明显低于固定协方差融合。另一方面，组合规则未证明相对仅门限方法的额外增益。表 2 给出配对平均 RMSE 差及探索性 95% 区间，单位为米；负值有利于组合规则。组合规则相对仅门限融合的小幅正差值，在全部四个场景中的区间均包含零。这些结果支持将门限方法保留为较简单的参考，而不能宣称额外的方差自适应改善了性能。</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right"/>
            </w:pPr>
            <w:r>
              <w:t xml:space="preserve">组合规则减固定 ESKF</w:t>
            </w:r>
          </w:p>
        </w:tc>
        <w:tc>
          <w:tcPr/>
          <w:p>
            <w:pPr>
              <w:pStyle w:val="Compact"/>
              <w:jc w:val="right"/>
            </w:pPr>
            <w:r>
              <w:t xml:space="preserve">组合规则减仅门限 ESKF</w:t>
            </w:r>
          </w:p>
        </w:tc>
      </w:tr>
      <w:tr>
        <w:tc>
          <w:tcPr/>
          <w:p>
            <w:pPr>
              <w:pStyle w:val="Compact"/>
              <w:jc w:val="left"/>
            </w:pPr>
            <w:r>
              <w:rPr>
                <w:rStyle w:val="VerbatimChar"/>
              </w:rPr>
              <w:t xml:space="preserve">los</w:t>
            </w:r>
          </w:p>
        </w:tc>
        <w:tc>
          <w:tcPr/>
          <w:p>
            <w:pPr>
              <w:pStyle w:val="Compact"/>
              <w:jc w:val="right"/>
            </w:pPr>
            <w:r>
              <w:t xml:space="preserve">0.0004 [-0.0010, 0.0019]</w:t>
            </w:r>
          </w:p>
        </w:tc>
        <w:tc>
          <w:tcPr/>
          <w:p>
            <w:pPr>
              <w:pStyle w:val="Compact"/>
              <w:jc w:val="right"/>
            </w:pPr>
            <w:r>
              <w:t xml:space="preserve">0.0002 [-0.0014, 0.0018]</w:t>
            </w:r>
          </w:p>
        </w:tc>
      </w:tr>
      <w:tr>
        <w:tc>
          <w:tcPr/>
          <w:p>
            <w:pPr>
              <w:pStyle w:val="Compact"/>
              <w:jc w:val="left"/>
            </w:pPr>
            <w:r>
              <w:rPr>
                <w:rStyle w:val="VerbatimChar"/>
              </w:rPr>
              <w:t xml:space="preserve">nlos</w:t>
            </w:r>
          </w:p>
        </w:tc>
        <w:tc>
          <w:tcPr/>
          <w:p>
            <w:pPr>
              <w:pStyle w:val="Compact"/>
              <w:jc w:val="right"/>
            </w:pPr>
            <w:r>
              <w:t xml:space="preserve">-1.0680 [-1.0887, -1.0472]</w:t>
            </w:r>
          </w:p>
        </w:tc>
        <w:tc>
          <w:tcPr/>
          <w:p>
            <w:pPr>
              <w:pStyle w:val="Compact"/>
              <w:jc w:val="right"/>
            </w:pPr>
            <w:r>
              <w:t xml:space="preserve">0.0009 [-0.0006, 0.0023]</w:t>
            </w:r>
          </w:p>
        </w:tc>
      </w:tr>
      <w:tr>
        <w:tc>
          <w:tcPr/>
          <w:p>
            <w:pPr>
              <w:pStyle w:val="Compact"/>
              <w:jc w:val="left"/>
            </w:pPr>
            <w:r>
              <w:rPr>
                <w:rStyle w:val="VerbatimChar"/>
              </w:rPr>
              <w:t xml:space="preserve">dropout</w:t>
            </w:r>
          </w:p>
        </w:tc>
        <w:tc>
          <w:tcPr/>
          <w:p>
            <w:pPr>
              <w:pStyle w:val="Compact"/>
              <w:jc w:val="right"/>
            </w:pPr>
            <w:r>
              <w:t xml:space="preserve">0.0007 [-0.0009, 0.0022]</w:t>
            </w:r>
          </w:p>
        </w:tc>
        <w:tc>
          <w:tcPr/>
          <w:p>
            <w:pPr>
              <w:pStyle w:val="Compact"/>
              <w:jc w:val="right"/>
            </w:pPr>
            <w:r>
              <w:t xml:space="preserve">0.0003 [-0.0012, 0.0017]</w:t>
            </w:r>
          </w:p>
        </w:tc>
      </w:tr>
      <w:tr>
        <w:tc>
          <w:tcPr/>
          <w:p>
            <w:pPr>
              <w:pStyle w:val="Compact"/>
              <w:jc w:val="left"/>
            </w:pPr>
            <w:r>
              <w:rPr>
                <w:rStyle w:val="VerbatimChar"/>
              </w:rPr>
              <w:t xml:space="preserve">combined</w:t>
            </w:r>
          </w:p>
        </w:tc>
        <w:tc>
          <w:tcPr/>
          <w:p>
            <w:pPr>
              <w:pStyle w:val="Compact"/>
              <w:jc w:val="right"/>
            </w:pPr>
            <w:r>
              <w:t xml:space="preserve">-1.1170 [-1.1381, -1.0959]</w:t>
            </w:r>
          </w:p>
        </w:tc>
        <w:tc>
          <w:tcPr/>
          <w:p>
            <w:pPr>
              <w:pStyle w:val="Compact"/>
              <w:jc w:val="right"/>
            </w:pPr>
            <w:r>
              <w:t xml:space="preserve">0.0010 [-0.0005, 0.0025]</w:t>
            </w:r>
          </w:p>
        </w:tc>
      </w:tr>
    </w:tbl>
    <w:p>
      <w:pPr>
        <w:pStyle w:val="BodyText"/>
      </w:pPr>
      <w:r>
        <w:t xml:space="preserve">表 3 对组合鲁棒方法在全部 3,001 个 IMU 网格时间戳上评估，其中包含中断期间。尾部和最大误差列是对应各运行统计量的均值，而非合并样本的 95 分位数或全部运行的最坏值。中断与组合场景中更大的密集网格误差表明，条件化的 UWB 时刻表本身不能证明中断期间的连续性或精度。</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场景</w:t>
            </w:r>
          </w:p>
        </w:tc>
        <w:tc>
          <w:tcPr/>
          <w:p>
            <w:pPr>
              <w:pStyle w:val="Compact"/>
              <w:jc w:val="right"/>
            </w:pPr>
            <w:r>
              <w:t xml:space="preserve">RMSE 均值 [95% 区间]（m）</w:t>
            </w:r>
          </w:p>
        </w:tc>
        <w:tc>
          <w:tcPr/>
          <w:p>
            <w:pPr>
              <w:pStyle w:val="Compact"/>
              <w:jc w:val="right"/>
            </w:pPr>
            <w:r>
              <w:t xml:space="preserve">各运行 P95 均值（m）</w:t>
            </w:r>
          </w:p>
        </w:tc>
        <w:tc>
          <w:tcPr/>
          <w:p>
            <w:pPr>
              <w:pStyle w:val="Compact"/>
              <w:jc w:val="right"/>
            </w:pPr>
            <w:r>
              <w:t xml:space="preserve">各运行最大值均值（m）</w:t>
            </w:r>
          </w:p>
        </w:tc>
      </w:tr>
      <w:tr>
        <w:tc>
          <w:tcPr/>
          <w:p>
            <w:pPr>
              <w:pStyle w:val="Compact"/>
              <w:jc w:val="left"/>
            </w:pPr>
            <w:r>
              <w:rPr>
                <w:rStyle w:val="VerbatimChar"/>
              </w:rPr>
              <w:t xml:space="preserve">los</w:t>
            </w:r>
          </w:p>
        </w:tc>
        <w:tc>
          <w:tcPr/>
          <w:p>
            <w:pPr>
              <w:pStyle w:val="Compact"/>
              <w:jc w:val="right"/>
            </w:pPr>
            <w:r>
              <w:t xml:space="preserve">0.0618 [0.0563, 0.0674]</w:t>
            </w:r>
          </w:p>
        </w:tc>
        <w:tc>
          <w:tcPr/>
          <w:p>
            <w:pPr>
              <w:pStyle w:val="Compact"/>
              <w:jc w:val="right"/>
            </w:pPr>
            <w:r>
              <w:t xml:space="preserve">0.1154</w:t>
            </w:r>
          </w:p>
        </w:tc>
        <w:tc>
          <w:tcPr/>
          <w:p>
            <w:pPr>
              <w:pStyle w:val="Compact"/>
              <w:jc w:val="right"/>
            </w:pPr>
            <w:r>
              <w:t xml:space="preserve">0.1924</w:t>
            </w:r>
          </w:p>
        </w:tc>
      </w:tr>
      <w:tr>
        <w:tc>
          <w:tcPr/>
          <w:p>
            <w:pPr>
              <w:pStyle w:val="Compact"/>
              <w:jc w:val="left"/>
            </w:pPr>
            <w:r>
              <w:rPr>
                <w:rStyle w:val="VerbatimChar"/>
              </w:rPr>
              <w:t xml:space="preserve">nlos</w:t>
            </w:r>
          </w:p>
        </w:tc>
        <w:tc>
          <w:tcPr/>
          <w:p>
            <w:pPr>
              <w:pStyle w:val="Compact"/>
              <w:jc w:val="right"/>
            </w:pPr>
            <w:r>
              <w:t xml:space="preserve">0.0686 [0.0588, 0.0783]</w:t>
            </w:r>
          </w:p>
        </w:tc>
        <w:tc>
          <w:tcPr/>
          <w:p>
            <w:pPr>
              <w:pStyle w:val="Compact"/>
              <w:jc w:val="right"/>
            </w:pPr>
            <w:r>
              <w:t xml:space="preserve">0.1260</w:t>
            </w:r>
          </w:p>
        </w:tc>
        <w:tc>
          <w:tcPr/>
          <w:p>
            <w:pPr>
              <w:pStyle w:val="Compact"/>
              <w:jc w:val="right"/>
            </w:pPr>
            <w:r>
              <w:t xml:space="preserve">0.1984</w:t>
            </w:r>
          </w:p>
        </w:tc>
      </w:tr>
      <w:tr>
        <w:tc>
          <w:tcPr/>
          <w:p>
            <w:pPr>
              <w:pStyle w:val="Compact"/>
              <w:jc w:val="left"/>
            </w:pPr>
            <w:r>
              <w:rPr>
                <w:rStyle w:val="VerbatimChar"/>
              </w:rPr>
              <w:t xml:space="preserve">dropout</w:t>
            </w:r>
          </w:p>
        </w:tc>
        <w:tc>
          <w:tcPr/>
          <w:p>
            <w:pPr>
              <w:pStyle w:val="Compact"/>
              <w:jc w:val="right"/>
            </w:pPr>
            <w:r>
              <w:t xml:space="preserve">0.1020 [0.0829, 0.1210]</w:t>
            </w:r>
          </w:p>
        </w:tc>
        <w:tc>
          <w:tcPr/>
          <w:p>
            <w:pPr>
              <w:pStyle w:val="Compact"/>
              <w:jc w:val="right"/>
            </w:pPr>
            <w:r>
              <w:t xml:space="preserve">0.2346</w:t>
            </w:r>
          </w:p>
        </w:tc>
        <w:tc>
          <w:tcPr/>
          <w:p>
            <w:pPr>
              <w:pStyle w:val="Compact"/>
              <w:jc w:val="right"/>
            </w:pPr>
            <w:r>
              <w:t xml:space="preserve">0.4021</w:t>
            </w:r>
          </w:p>
        </w:tc>
      </w:tr>
      <w:tr>
        <w:tc>
          <w:tcPr/>
          <w:p>
            <w:pPr>
              <w:pStyle w:val="Compact"/>
              <w:jc w:val="left"/>
            </w:pPr>
            <w:r>
              <w:rPr>
                <w:rStyle w:val="VerbatimChar"/>
              </w:rPr>
              <w:t xml:space="preserve">combined</w:t>
            </w:r>
          </w:p>
        </w:tc>
        <w:tc>
          <w:tcPr/>
          <w:p>
            <w:pPr>
              <w:pStyle w:val="Compact"/>
              <w:jc w:val="right"/>
            </w:pPr>
            <w:r>
              <w:t xml:space="preserve">0.1112 [0.0883, 0.1342]</w:t>
            </w:r>
          </w:p>
        </w:tc>
        <w:tc>
          <w:tcPr/>
          <w:p>
            <w:pPr>
              <w:pStyle w:val="Compact"/>
              <w:jc w:val="right"/>
            </w:pPr>
            <w:r>
              <w:t xml:space="preserve">0.2502</w:t>
            </w:r>
          </w:p>
        </w:tc>
        <w:tc>
          <w:tcPr/>
          <w:p>
            <w:pPr>
              <w:pStyle w:val="Compact"/>
              <w:jc w:val="right"/>
            </w:pPr>
            <w:r>
              <w:t xml:space="preserve">0.4376</w:t>
            </w:r>
          </w:p>
        </w:tc>
      </w:tr>
    </w:tbl>
    <w:p>
      <w:pPr>
        <w:pStyle w:val="BodyText"/>
      </w:pPr>
      <w:r>
        <w:t xml:space="preserve">本研究中，惯性与融合方法在全部计划 IMU 时间戳均产生有限状态。100% 数值可用率不意味着估计持续准确，纯 INS 对照即出现明显漂移。纯 UWB 输出自然位于较低的测距频率，并在配置的完全中断期间缺失；其在 100 Hz 网格上的较低可用率本身不是求解器失败率。恢复时间与协方差一致性尚未作为独立结果评估。</w:t>
      </w:r>
    </w:p>
    <w:p>
      <w:pPr>
        <w:pStyle w:val="CaptionedFigure"/>
      </w:pPr>
      <w:r>
        <w:drawing>
          <wp:inline>
            <wp:extent cx="5334000" cy="3048000"/>
            <wp:effectExtent b="0" l="0" r="0" t="0"/>
            <wp:docPr descr="四种合成场景下种子 100 的代表性定位误差曲线；该种子是预先选定评估种子中的第一个。纵轴为对数尺度。曲线表示惯性或融合估计，UWB 单独估计以可求解观测时刻的散点表示。本图仅作示例，不能替代十种子的汇总结果。" title="" id="38" name="Picture"/>
            <a:graphic>
              <a:graphicData uri="http://schemas.openxmlformats.org/drawingml/2006/picture">
                <pic:pic>
                  <pic:nvPicPr>
                    <pic:cNvPr descr="../../experiments/results/reference/position_errors.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四种合成场景下种子 100 的代表性定位误差曲线；该种子是预先选定评估种子中的第一个。纵轴为对数尺度。曲线表示惯性或融合估计，UWB 单独估计以可求解观测时刻的散点表示。本图仅作示例，不能替代十种子的汇总结果。</w:t>
      </w:r>
    </w:p>
    <w:p>
      <w:pPr>
        <w:pStyle w:val="BodyText"/>
      </w:pPr>
      <w:r>
        <w:t xml:space="preserve">报告表格保留了所有方法与场景，包括视距，以及尚未证明优于仅门限方法的结果。较低的平均 RMSE 本身不足以证明可靠恢复、正确标定的不确定性或更好的安全性。种子 100 的代表性诊断日志保留了被剔除的观测；门限后的选择会改变新息分布，不能直接据此作出一致性判断。</w:t>
      </w:r>
    </w:p>
    <w:bookmarkEnd w:id="40"/>
    <w:bookmarkStart w:id="41" w:name="遥测功能与主机开销"/>
    <w:p>
      <w:pPr>
        <w:pStyle w:val="Heading2"/>
      </w:pPr>
      <w:r>
        <w:t xml:space="preserve">7.2. 遥测功能与主机开销</w:t>
      </w:r>
    </w:p>
    <w:p>
      <w:pPr>
        <w:pStyle w:val="FirstParagraph"/>
      </w:pPr>
      <w:r>
        <w:rPr>
          <w:rStyle w:val="VerbatimChar"/>
        </w:rPr>
        <w:t xml:space="preserve">results/security/benchmark.json</w:t>
      </w:r>
      <w:r>
        <w:t xml:space="preserve"> </w:t>
      </w:r>
      <w:r>
        <w:t xml:space="preserve">中记录的遥测微基准在 x86-64 主机上运行，主机报告 AMD EPYC 7763 处理器、Python 3.12.14 和</w:t>
      </w:r>
      <w:r>
        <w:t xml:space="preserve"> </w:t>
      </w:r>
      <w:r>
        <w:rPr>
          <w:rStyle w:val="VerbatimChar"/>
        </w:rPr>
        <w:t xml:space="preserve">cryptography</w:t>
      </w:r>
      <w:r>
        <w:t xml:space="preserve"> </w:t>
      </w:r>
      <w:r>
        <w:t xml:space="preserve">50.0.0。每种载荷长度先运行 100 个预热数据包，再在单进程中测量 2,000 个数据包。封装计时包含 JSON/AAD 序列化、AES-GCM 和 Base64/包封装编码；解封计时包含解析、标签验证和防重放检查。以下描述性测量不包含网络传输、密钥配置或存储。</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载荷（字节）</w:t>
            </w:r>
          </w:p>
        </w:tc>
        <w:tc>
          <w:tcPr/>
          <w:p>
            <w:pPr>
              <w:pStyle w:val="Compact"/>
              <w:jc w:val="right"/>
            </w:pPr>
            <w:r>
              <w:t xml:space="preserve">封装中位数 / P95（</w:t>
            </w:r>
            <m:oMath>
              <m:r>
                <m:t>μ</m:t>
              </m:r>
            </m:oMath>
            <w:r>
              <w:t xml:space="preserve">s）</w:t>
            </w:r>
          </w:p>
        </w:tc>
        <w:tc>
          <w:tcPr/>
          <w:p>
            <w:pPr>
              <w:pStyle w:val="Compact"/>
              <w:jc w:val="right"/>
            </w:pPr>
            <w:r>
              <w:t xml:space="preserve">解封中位数 / P95（</w:t>
            </w:r>
            <m:oMath>
              <m:r>
                <m:t>μ</m:t>
              </m:r>
            </m:oMath>
            <w:r>
              <w:t xml:space="preserve">s）</w:t>
            </w:r>
          </w:p>
        </w:tc>
        <w:tc>
          <w:tcPr/>
          <w:p>
            <w:pPr>
              <w:pStyle w:val="Compact"/>
              <w:jc w:val="right"/>
            </w:pPr>
            <w:r>
              <w:t xml:space="preserve">序列化包长度（字节）</w:t>
            </w:r>
          </w:p>
        </w:tc>
      </w:tr>
      <w:tr>
        <w:tc>
          <w:tcPr/>
          <w:p>
            <w:pPr>
              <w:pStyle w:val="Compact"/>
              <w:jc w:val="left"/>
            </w:pPr>
            <w:r>
              <w:t xml:space="preserve">128</w:t>
            </w:r>
          </w:p>
        </w:tc>
        <w:tc>
          <w:tcPr/>
          <w:p>
            <w:pPr>
              <w:pStyle w:val="Compact"/>
              <w:jc w:val="right"/>
            </w:pPr>
            <w:r>
              <w:t xml:space="preserve">9.94 / 13.24</w:t>
            </w:r>
          </w:p>
        </w:tc>
        <w:tc>
          <w:tcPr/>
          <w:p>
            <w:pPr>
              <w:pStyle w:val="Compact"/>
              <w:jc w:val="right"/>
            </w:pPr>
            <w:r>
              <w:t xml:space="preserve">13.40 / 17.65</w:t>
            </w:r>
          </w:p>
        </w:tc>
        <w:tc>
          <w:tcPr/>
          <w:p>
            <w:pPr>
              <w:pStyle w:val="Compact"/>
              <w:jc w:val="right"/>
            </w:pPr>
            <w:r>
              <w:t xml:space="preserve">345–346</w:t>
            </w:r>
          </w:p>
        </w:tc>
      </w:tr>
      <w:tr>
        <w:tc>
          <w:tcPr/>
          <w:p>
            <w:pPr>
              <w:pStyle w:val="Compact"/>
              <w:jc w:val="left"/>
            </w:pPr>
            <w:r>
              <w:t xml:space="preserve">512</w:t>
            </w:r>
          </w:p>
        </w:tc>
        <w:tc>
          <w:tcPr/>
          <w:p>
            <w:pPr>
              <w:pStyle w:val="Compact"/>
              <w:jc w:val="right"/>
            </w:pPr>
            <w:r>
              <w:t xml:space="preserve">11.57 / 14.42</w:t>
            </w:r>
          </w:p>
        </w:tc>
        <w:tc>
          <w:tcPr/>
          <w:p>
            <w:pPr>
              <w:pStyle w:val="Compact"/>
              <w:jc w:val="right"/>
            </w:pPr>
            <w:r>
              <w:t xml:space="preserve">15.13 / 21.27</w:t>
            </w:r>
          </w:p>
        </w:tc>
        <w:tc>
          <w:tcPr/>
          <w:p>
            <w:pPr>
              <w:pStyle w:val="Compact"/>
              <w:jc w:val="right"/>
            </w:pPr>
            <w:r>
              <w:t xml:space="preserve">857–858</w:t>
            </w:r>
          </w:p>
        </w:tc>
      </w:tr>
      <w:tr>
        <w:tc>
          <w:tcPr/>
          <w:p>
            <w:pPr>
              <w:pStyle w:val="Compact"/>
              <w:jc w:val="left"/>
            </w:pPr>
            <w:r>
              <w:t xml:space="preserve">2048</w:t>
            </w:r>
          </w:p>
        </w:tc>
        <w:tc>
          <w:tcPr/>
          <w:p>
            <w:pPr>
              <w:pStyle w:val="Compact"/>
              <w:jc w:val="right"/>
            </w:pPr>
            <w:r>
              <w:t xml:space="preserve">18.09 / 23.55</w:t>
            </w:r>
          </w:p>
        </w:tc>
        <w:tc>
          <w:tcPr/>
          <w:p>
            <w:pPr>
              <w:pStyle w:val="Compact"/>
              <w:jc w:val="right"/>
            </w:pPr>
            <w:r>
              <w:t xml:space="preserve">23.23 / 48.38</w:t>
            </w:r>
          </w:p>
        </w:tc>
        <w:tc>
          <w:tcPr/>
          <w:p>
            <w:pPr>
              <w:pStyle w:val="Compact"/>
              <w:jc w:val="right"/>
            </w:pPr>
            <w:r>
              <w:t xml:space="preserve">2905–2906</w:t>
            </w:r>
          </w:p>
        </w:tc>
      </w:tr>
    </w:tbl>
    <w:p>
      <w:pPr>
        <w:pStyle w:val="BodyText"/>
      </w:pPr>
      <w:r>
        <w:t xml:space="preserve">数据包长度包含示例头部与 Base64 表示，其变化来自计数器编码，而非仅由密码算法扩展决定。同一记录运行拒绝了密文篡改、附加数据篡改、伪造高计数器、错误密钥、重放及乱序投递，并在拒绝时保持防重放状态不变。这些功能检查以及每种载荷长度的一次基准会话不构成密码学证明、独立飞行试验、严格延迟界或机载性能证据。</w:t>
      </w:r>
    </w:p>
    <w:bookmarkEnd w:id="41"/>
    <w:bookmarkStart w:id="43" w:name="定位到遥测的集成检查"/>
    <w:p>
      <w:pPr>
        <w:pStyle w:val="Heading2"/>
      </w:pPr>
      <w:r>
        <w:t xml:space="preserve">7.3. 定位到遥测的集成检查</w:t>
      </w:r>
    </w:p>
    <w:p>
      <w:pPr>
        <w:pStyle w:val="FirstParagraph"/>
      </w:pPr>
      <w:r>
        <w:t xml:space="preserve">独立的四秒合成检查记录于</w:t>
      </w:r>
      <w:r>
        <w:t xml:space="preserve"> </w:t>
      </w:r>
      <w:hyperlink r:id="rId42">
        <w:r>
          <w:rPr>
            <w:rStyle w:val="Hyperlink"/>
          </w:rPr>
          <w:t xml:space="preserve">定位状态往返记录</w:t>
        </w:r>
      </w:hyperlink>
      <w:r>
        <w:t xml:space="preserve">，将 401 条实际</w:t>
      </w:r>
      <w:r>
        <w:t xml:space="preserve"> </w:t>
      </w:r>
      <w:r>
        <w:rPr>
          <w:rStyle w:val="VerbatimChar"/>
        </w:rPr>
        <w:t xml:space="preserve">robust_eskf</w:t>
      </w:r>
      <w:r>
        <w:t xml:space="preserve"> </w:t>
      </w:r>
      <w:r>
        <w:t xml:space="preserve">状态输出送入遥测模块。每条被接受的载荷在解密后均逐字节一致，解码位置变化为零。该演示中，传输前后的定位 RMSE 同为 0.07791 m。在计数器 123 处进行篡改会被拒绝，且已接受水位保持为 122；随后真实数据包 123 可被接受，其重放则被拒绝。序列化状态载荷总计 185,325 字节，对应线路数据包总计 325,844 字节。这是采用独立短场景和种子的集成检查，不是定位研究中的额外重复实验。它保护外发估计，不认证融合前的传感器输入。完全恢复证明传输保真，而非加密带来的精度增益。</w:t>
      </w:r>
    </w:p>
    <w:bookmarkEnd w:id="43"/>
    <w:bookmarkEnd w:id="44"/>
    <w:bookmarkStart w:id="45" w:name="局限与后续实证步骤"/>
    <w:p>
      <w:pPr>
        <w:pStyle w:val="Heading1"/>
      </w:pPr>
      <w:r>
        <w:t xml:space="preserve">8. 局限与后续实证步骤</w:t>
      </w:r>
    </w:p>
    <w:p>
      <w:pPr>
        <w:pStyle w:val="FirstParagraph"/>
      </w:pPr>
      <w:r>
        <w:t xml:space="preserve">初步研究采用一个轨迹族、理想同步、不含不确定性的已知基站、零杆臂、简化独立传感器噪声、预设正测距偏差及有利的热启动。这些选择便于受控调试，但限制外部有效性。当前没有飞行器动力学、无线信道或闭环飞控模型；所提供实验不能证明真实无人机性能、能耗或飞行安全。</w:t>
      </w:r>
    </w:p>
    <w:p>
      <w:pPr>
        <w:pStyle w:val="BodyText"/>
      </w:pPr>
      <w:r>
        <w:t xml:space="preserve">后续评估应改变运动、基站几何、测距质量、偏差持续时间、中断长度、初始化、时间戳误差和标定误差；应测试更长中断，并明确统计重新获取有效观测失败的情况。参数调节必须使用与最终结论评估不同的会话或轨迹。真实数据工作应为所选数据集实现正确观测模型；对于 UTIL，应使用 TDOA，而不能将距离差重新命名为距离</w:t>
      </w:r>
      <w:r>
        <w:t xml:space="preserve"> </w:t>
      </w:r>
      <w:r>
        <w:t xml:space="preserve">(Zhao 等 2024)</w:t>
      </w:r>
      <w:r>
        <w:t xml:space="preserve">。自行采集飞行数据需要独立参考系统和有记录的坐标系标定。</w:t>
      </w:r>
    </w:p>
    <w:p>
      <w:pPr>
        <w:pStyle w:val="BodyText"/>
      </w:pPr>
      <w:r>
        <w:t xml:space="preserve">当前鲁棒规则不对 NLOS 偏差建立概率模型，容易受到仍低于门限的缓慢、貌似合理误差影响。硬剔除也可能延迟漂移后的恢复。同一新息同时用于方差膨胀与更新，使统计一致性更复杂。可观测性及 NEES/NIS 标定需要独立分析，并正确考虑相关选择效应和姿态误差约定。</w:t>
      </w:r>
    </w:p>
    <w:p>
      <w:pPr>
        <w:pStyle w:val="BodyText"/>
      </w:pPr>
      <w:r>
        <w:t xml:space="preserve">安全组件假定会话密钥已配置且端点可信。重启、回滚、双向通信、密钥轮换与撤销需要部署协议。数据包认证不验证其中内容的物理测量真实性。这些边界使本文不能声称实现安全测距或全面的无人机安全。</w:t>
      </w:r>
    </w:p>
    <w:bookmarkEnd w:id="45"/>
    <w:bookmarkStart w:id="46" w:name="结论"/>
    <w:p>
      <w:pPr>
        <w:pStyle w:val="Heading1"/>
      </w:pPr>
      <w:r>
        <w:t xml:space="preserve">9. 结论</w:t>
      </w:r>
    </w:p>
    <w:p>
      <w:pPr>
        <w:pStyle w:val="FirstParagraph"/>
      </w:pPr>
      <w:r>
        <w:t xml:space="preserve">本文给出并实现了一个可复现 UWB/INS 研究基线，包括 15 维误差状态滤波器、明确的新息驱动测距处理、共同对照方法、受控合成数据，以及独立限定范围的遥测认证保护。该成果将原研究提纲转化为可检查的数学与软件选择。在所配置合成轨迹中，硬门限方法降低了预设正测距偏差下的误差，而方差膨胀相对仅门限方法的额外收益尚未确立。遥测测试展示了认证状态载荷的完全恢复，以及对所测试篡改和重复消息的拒绝。评估必须在规定的合成与协议假设范围内理解，尚不能证明算法新颖性、真实飞行改进或部署可用性。下一步关键工作是经验证的真实数据适配、与密切相关方法的比较、敏感性分析及目标平台测量。</w:t>
      </w:r>
    </w:p>
    <w:bookmarkEnd w:id="46"/>
    <w:bookmarkStart w:id="62" w:name="参考文献"/>
    <w:p>
      <w:pPr>
        <w:pStyle w:val="Heading1"/>
      </w:pPr>
      <w:r>
        <w:t xml:space="preserve">参考文献</w:t>
      </w:r>
    </w:p>
    <w:bookmarkStart w:id="61" w:name="refs"/>
    <w:bookmarkStart w:id="48" w:name="ref-bordoy2017robust"/>
    <w:p>
      <w:pPr>
        <w:pStyle w:val="Bibliography"/>
      </w:pPr>
      <w:r>
        <w:t xml:space="preserve">Bordoy, Joan, Christian Schindelhauer, Rui Zhang, Fabian Hoflinger, 和 Leonhard M. Reindl. 2017.</w:t>
      </w:r>
      <w:r>
        <w:t xml:space="preserve"> </w:t>
      </w:r>
      <w:r>
        <w:t xml:space="preserve">《</w:t>
      </w:r>
      <w:r>
        <w:t xml:space="preserve">Robust Extended Kalman filter for NLOS mitigation and sensor data fusion</w:t>
      </w:r>
      <w:r>
        <w:t xml:space="preserve">》</w:t>
      </w:r>
      <w:r>
        <w:t xml:space="preserve">. 收入</w:t>
      </w:r>
      <w:r>
        <w:t xml:space="preserve"> </w:t>
      </w:r>
      <w:r>
        <w:rPr>
          <w:i/>
          <w:iCs/>
        </w:rPr>
        <w:t xml:space="preserve">2017 IEEE International Symposium on Inertial Sensors and Systems (INERTIAL)</w:t>
      </w:r>
      <w:r>
        <w:t xml:space="preserve">, 117–20.</w:t>
      </w:r>
      <w:r>
        <w:t xml:space="preserve"> </w:t>
      </w:r>
      <w:hyperlink r:id="rId47">
        <w:r>
          <w:rPr>
            <w:rStyle w:val="Hyperlink"/>
          </w:rPr>
          <w:t xml:space="preserve">https://doi.org/10.1109/isiss.2017.7935670</w:t>
        </w:r>
      </w:hyperlink>
      <w:r>
        <w:t xml:space="preserve">.</w:t>
      </w:r>
    </w:p>
    <w:bookmarkEnd w:id="48"/>
    <w:bookmarkStart w:id="50" w:name="ref-briese2017adaptive"/>
    <w:p>
      <w:pPr>
        <w:pStyle w:val="Bibliography"/>
      </w:pPr>
      <w:r>
        <w:t xml:space="preserve">Briese, Danilo, Holger Kunze, 和 Georg Rose. 2017.</w:t>
      </w:r>
      <w:r>
        <w:t xml:space="preserve"> </w:t>
      </w:r>
      <w:r>
        <w:t xml:space="preserve">《</w:t>
      </w:r>
      <w:r>
        <w:t xml:space="preserve">UWB localization using adaptive covariance Kalman Filter based on sensor fusion</w:t>
      </w:r>
      <w:r>
        <w:t xml:space="preserve">》</w:t>
      </w:r>
      <w:r>
        <w:t xml:space="preserve">. 收入</w:t>
      </w:r>
      <w:r>
        <w:t xml:space="preserve"> </w:t>
      </w:r>
      <w:r>
        <w:rPr>
          <w:i/>
          <w:iCs/>
        </w:rPr>
        <w:t xml:space="preserve">2017 IEEE 17th International Conference on Ubiquitous Wireless Broadband (ICUWB)</w:t>
      </w:r>
      <w:r>
        <w:t xml:space="preserve">, 1–7.</w:t>
      </w:r>
      <w:r>
        <w:t xml:space="preserve"> </w:t>
      </w:r>
      <w:hyperlink r:id="rId49">
        <w:r>
          <w:rPr>
            <w:rStyle w:val="Hyperlink"/>
          </w:rPr>
          <w:t xml:space="preserve">https://doi.org/10.1109/icuwb.2017.8250968</w:t>
        </w:r>
      </w:hyperlink>
      <w:r>
        <w:t xml:space="preserve">.</w:t>
      </w:r>
    </w:p>
    <w:bookmarkEnd w:id="50"/>
    <w:bookmarkStart w:id="52" w:name="ref-dworkin2007gcm"/>
    <w:p>
      <w:pPr>
        <w:pStyle w:val="Bibliography"/>
      </w:pPr>
      <w:r>
        <w:t xml:space="preserve">Dworkin, Morris. 2007.</w:t>
      </w:r>
      <w:r>
        <w:t xml:space="preserve"> </w:t>
      </w:r>
      <w:r>
        <w:t xml:space="preserve">《Recommendation for Block Cipher Modes of Operation:</w:t>
      </w:r>
      <w:r>
        <w:t xml:space="preserve"> </w:t>
      </w:r>
      <w:r>
        <w:t xml:space="preserve">Galois/Counter Mode (GCM) and GMAC</w:t>
      </w:r>
      <w:r>
        <w:t xml:space="preserve">》</w:t>
      </w:r>
      <w:r>
        <w:t xml:space="preserve">. SP 800-38D. National Institute of Standards; Technology.</w:t>
      </w:r>
      <w:r>
        <w:t xml:space="preserve"> </w:t>
      </w:r>
      <w:hyperlink r:id="rId51">
        <w:r>
          <w:rPr>
            <w:rStyle w:val="Hyperlink"/>
          </w:rPr>
          <w:t xml:space="preserve">https://doi.org/10.6028/NIST.SP.800-38D</w:t>
        </w:r>
      </w:hyperlink>
      <w:r>
        <w:t xml:space="preserve">.</w:t>
      </w:r>
    </w:p>
    <w:bookmarkEnd w:id="52"/>
    <w:bookmarkStart w:id="54" w:name="ref-li2023continuous"/>
    <w:p>
      <w:pPr>
        <w:pStyle w:val="Bibliography"/>
      </w:pPr>
      <w:r>
        <w:t xml:space="preserve">Li, Kailai, Ziyu Cao, 和 Uwe D. Hanebeck. 2023.</w:t>
      </w:r>
      <w:r>
        <w:t xml:space="preserve"> </w:t>
      </w:r>
      <w:r>
        <w:t xml:space="preserve">《</w:t>
      </w:r>
      <w:r>
        <w:t xml:space="preserve">Continuous-Time Ultra-Wideband-Inertial Fusion</w:t>
      </w:r>
      <w:r>
        <w:t xml:space="preserve">》</w:t>
      </w:r>
      <w:r>
        <w:t xml:space="preserve">.</w:t>
      </w:r>
      <w:r>
        <w:t xml:space="preserve"> </w:t>
      </w:r>
      <w:r>
        <w:rPr>
          <w:i/>
          <w:iCs/>
        </w:rPr>
        <w:t xml:space="preserve">IEEE Robotics and Automation Letters</w:t>
      </w:r>
      <w:r>
        <w:t xml:space="preserve"> </w:t>
      </w:r>
      <w:r>
        <w:t xml:space="preserve">8 (7): 4338–45.</w:t>
      </w:r>
      <w:r>
        <w:t xml:space="preserve"> </w:t>
      </w:r>
      <w:hyperlink r:id="rId53">
        <w:r>
          <w:rPr>
            <w:rStyle w:val="Hyperlink"/>
          </w:rPr>
          <w:t xml:space="preserve">https://doi.org/10.1109/lra.2023.3281932</w:t>
        </w:r>
      </w:hyperlink>
      <w:r>
        <w:t xml:space="preserve">.</w:t>
      </w:r>
    </w:p>
    <w:bookmarkEnd w:id="54"/>
    <w:bookmarkStart w:id="56" w:name="ref-mcgrew2008aead"/>
    <w:p>
      <w:pPr>
        <w:pStyle w:val="Bibliography"/>
      </w:pPr>
      <w:r>
        <w:t xml:space="preserve">McGrew, David. 2008.</w:t>
      </w:r>
      <w:r>
        <w:t xml:space="preserve"> </w:t>
      </w:r>
      <w:r>
        <w:t xml:space="preserve">《An Interface and Algorithms for Authenticated Encryption》</w:t>
      </w:r>
      <w:r>
        <w:t xml:space="preserve">. RFC 5116. RFC Editor.</w:t>
      </w:r>
      <w:r>
        <w:t xml:space="preserve"> </w:t>
      </w:r>
      <w:hyperlink r:id="rId55">
        <w:r>
          <w:rPr>
            <w:rStyle w:val="Hyperlink"/>
          </w:rPr>
          <w:t xml:space="preserve">https://doi.org/10.17487/RFC5116</w:t>
        </w:r>
      </w:hyperlink>
      <w:r>
        <w:t xml:space="preserve">.</w:t>
      </w:r>
    </w:p>
    <w:bookmarkEnd w:id="56"/>
    <w:bookmarkStart w:id="58" w:name="ref-sola2017quaternion"/>
    <w:p>
      <w:pPr>
        <w:pStyle w:val="Bibliography"/>
      </w:pPr>
      <w:r>
        <w:t xml:space="preserve">Solà, Joan. 2017.</w:t>
      </w:r>
      <w:r>
        <w:t xml:space="preserve"> </w:t>
      </w:r>
      <w:r>
        <w:t xml:space="preserve">《Quaternion kinematics for the error-state Kalman filter》</w:t>
      </w:r>
      <w:r>
        <w:t xml:space="preserve">.</w:t>
      </w:r>
      <w:r>
        <w:t xml:space="preserve"> </w:t>
      </w:r>
      <w:hyperlink r:id="rId57">
        <w:r>
          <w:rPr>
            <w:rStyle w:val="Hyperlink"/>
          </w:rPr>
          <w:t xml:space="preserve">https://doi.org/10.48550/arXiv.1711.02508</w:t>
        </w:r>
      </w:hyperlink>
      <w:r>
        <w:t xml:space="preserve">.</w:t>
      </w:r>
    </w:p>
    <w:bookmarkEnd w:id="58"/>
    <w:bookmarkStart w:id="60" w:name="ref-zhao2024util"/>
    <w:p>
      <w:pPr>
        <w:pStyle w:val="Bibliography"/>
      </w:pPr>
      <w:r>
        <w:t xml:space="preserve">Zhao, Wenda, Abhishek Goudar, Xinyuan Qiao, 和 Angela P. Schoellig. 2024.</w:t>
      </w:r>
      <w:r>
        <w:t xml:space="preserve"> </w:t>
      </w:r>
      <w:r>
        <w:t xml:space="preserve">《</w:t>
      </w:r>
      <w:r>
        <w:t xml:space="preserve">UTIL: An ultra-wideband time-difference-of-arrival indoor localization dataset</w:t>
      </w:r>
      <w:r>
        <w:t xml:space="preserve">》</w:t>
      </w:r>
      <w:r>
        <w:t xml:space="preserve">.</w:t>
      </w:r>
      <w:r>
        <w:t xml:space="preserve"> </w:t>
      </w:r>
      <w:r>
        <w:rPr>
          <w:i/>
          <w:iCs/>
        </w:rPr>
        <w:t xml:space="preserve">The International Journal of Robotics Research</w:t>
      </w:r>
      <w:r>
        <w:t xml:space="preserve"> </w:t>
      </w:r>
      <w:r>
        <w:t xml:space="preserve">43 (10): 1443–56.</w:t>
      </w:r>
      <w:r>
        <w:t xml:space="preserve"> </w:t>
      </w:r>
      <w:hyperlink r:id="rId59">
        <w:r>
          <w:rPr>
            <w:rStyle w:val="Hyperlink"/>
          </w:rPr>
          <w:t xml:space="preserve">https://doi.org/10.1177/02783649241230640</w:t>
        </w:r>
      </w:hyperlink>
      <w:r>
        <w:t xml:space="preserv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42" Target="../../results/security/localization_roundtrip.json" TargetMode="External" /><Relationship Type="http://schemas.openxmlformats.org/officeDocument/2006/relationships/hyperlink" Id="rId49" Target="https://doi.org/10.1109/icuwb.2017.8250968" TargetMode="External" /><Relationship Type="http://schemas.openxmlformats.org/officeDocument/2006/relationships/hyperlink" Id="rId47" Target="https://doi.org/10.1109/isiss.2017.7935670" TargetMode="External" /><Relationship Type="http://schemas.openxmlformats.org/officeDocument/2006/relationships/hyperlink" Id="rId53" Target="https://doi.org/10.1109/lra.2023.3281932" TargetMode="External" /><Relationship Type="http://schemas.openxmlformats.org/officeDocument/2006/relationships/hyperlink" Id="rId59" Target="https://doi.org/10.1177/02783649241230640" TargetMode="External" /><Relationship Type="http://schemas.openxmlformats.org/officeDocument/2006/relationships/hyperlink" Id="rId55" Target="https://doi.org/10.17487/RFC5116" TargetMode="External" /><Relationship Type="http://schemas.openxmlformats.org/officeDocument/2006/relationships/hyperlink" Id="rId57" Target="https://doi.org/10.48550/arXiv.1711.02508" TargetMode="External" /><Relationship Type="http://schemas.openxmlformats.org/officeDocument/2006/relationships/hyperlink" Id="rId51" Target="https://doi.org/10.6028/NIST.SP.800-38D" TargetMode="External" /></Relationships>
</file>

<file path=word/_rels/footnotes.xml.rels><?xml version="1.0" encoding="UTF-8"?><Relationships xmlns="http://schemas.openxmlformats.org/package/2006/relationships"><Relationship Type="http://schemas.openxmlformats.org/officeDocument/2006/relationships/hyperlink" Id="rId42" Target="../../results/security/localization_roundtrip.json" TargetMode="External" /><Relationship Type="http://schemas.openxmlformats.org/officeDocument/2006/relationships/hyperlink" Id="rId49" Target="https://doi.org/10.1109/icuwb.2017.8250968" TargetMode="External" /><Relationship Type="http://schemas.openxmlformats.org/officeDocument/2006/relationships/hyperlink" Id="rId47" Target="https://doi.org/10.1109/isiss.2017.7935670" TargetMode="External" /><Relationship Type="http://schemas.openxmlformats.org/officeDocument/2006/relationships/hyperlink" Id="rId53" Target="https://doi.org/10.1109/lra.2023.3281932" TargetMode="External" /><Relationship Type="http://schemas.openxmlformats.org/officeDocument/2006/relationships/hyperlink" Id="rId59" Target="https://doi.org/10.1177/02783649241230640" TargetMode="External" /><Relationship Type="http://schemas.openxmlformats.org/officeDocument/2006/relationships/hyperlink" Id="rId55" Target="https://doi.org/10.17487/RFC5116" TargetMode="External" /><Relationship Type="http://schemas.openxmlformats.org/officeDocument/2006/relationships/hyperlink" Id="rId57" Target="https://doi.org/10.48550/arXiv.1711.02508" TargetMode="External" /><Relationship Type="http://schemas.openxmlformats.org/officeDocument/2006/relationships/hyperlink" Id="rId51" Target="https://doi.org/10.6028/NIST.SP.800-38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面向室内无人机定位的新息驱动 UWB/INS 融合与遥测认证保护</dc:title>
  <dc:creator/>
  <dc:language>zh-CN</dc:language>
  <cp:keywords/>
  <dcterms:created xsi:type="dcterms:W3CDTF">2026-10-23T08:52:05Z</dcterms:created>
  <dcterms:modified xsi:type="dcterms:W3CDTF">2026-10-23T08:52:05Z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/workspace/UAV-Localization-Algorithm/paper/references.bib</vt:lpwstr>
  </property>
  <property fmtid="{D5CDD505-2E9C-101B-9397-08002B2CF9AE}" pid="3" name="subtitle">
    <vt:lpwstr>可执行研究基线与合成数据评估</vt:lpwstr>
  </property>
</Properties>
</file>