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By Student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89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Comments: Adding even a basic border to the US Map, is an option when mapping so I would consider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doing that so it is clear to the reader.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It was slightly confusing when reading through what you were trying to get the clusters to be. If the reader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is not familiar with these concepts, they’d be completely lost. I recommend trying to simplify your verbage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and state in non-statistical speak what you are doing. While it does seem that you know this concept very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well based on your conclusion, being able to simplify complex topics for general consumption a good skill to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Have.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Total: 89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By Student 2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Questions: 15/15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The question is very new, motivated and insightful.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Analysis : 15/15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The analysis is appropriate and complete. The use of cluster in this problem is very advanced and smart.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Results: 15/15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The result is conpelling and giving out useful suggestion.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Code Review: 15/15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The code is well-commented. The author named variable very well make it easy to read.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Readability and Guidelines: 15/15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 think there is still room for improvement for analysis aspect. For example, the shape of scatters in plot 1-4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can be in different shape to improve the readiness.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Presentation: 15/15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Very nice presentation. The presentation are appealing. Something he can improve is to add stuff like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“figure1.xxx” in the bottom of a plot.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Writing:15/15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Author did a great job in writing. He bolded everything that is important.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Overall: 105/105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By TA/Instructor: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The average score from your two peer reviews is a 97.  Their comments were thoughtful, and we have nothing further to add.  We feel like a 97 is appropriate, so that’s what we’ll assign you.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Overall grade: (89 + 105)/2 = 97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