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  <w:jc w:val="center"/>
      </w:pPr>
      <w:r>
        <w:rPr>
          <w:rFonts w:ascii="Aptos Display" w:hAnsi="Aptos Display"/>
          <w:b/>
          <w:color w:val="234C57"/>
          <w:sz w:val="46"/>
        </w:rPr>
        <w:t>Choosing Joy Website Concept</w:t>
      </w:r>
    </w:p>
    <w:p>
      <w:pPr>
        <w:spacing w:before="0" w:after="200" w:line="264" w:lineRule="auto"/>
        <w:jc w:val="center"/>
      </w:pPr>
      <w:r>
        <w:rPr>
          <w:i/>
          <w:color w:val="705948"/>
          <w:sz w:val="23"/>
        </w:rPr>
        <w:t>Publisher Presentation Document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EFEA"/>
          </w:tcPr>
          <w:p>
            <w:pPr>
              <w:spacing w:before="0" w:after="0" w:line="264" w:lineRule="auto"/>
            </w:pPr>
            <w:r>
              <w:rPr>
                <w:i/>
                <w:color w:val="705948"/>
                <w:sz w:val="21"/>
              </w:rPr>
              <w:t>This document presents a three-page website concept designed to introduce the book, reinforce the author platform, and convert early interest into launch-list signups and speaking inquiries. The presentation is intentionally image-free so the concept can be reviewed as a clean publishing document.</w:t>
            </w:r>
          </w:p>
        </w:tc>
      </w:tr>
    </w:tbl>
    <w:p/>
    <w:p>
      <w:pPr>
        <w:spacing w:before="120" w:after="60" w:line="264" w:lineRule="auto"/>
      </w:pPr>
      <w:r>
        <w:rPr>
          <w:rFonts w:ascii="Aptos Display" w:hAnsi="Aptos Display"/>
          <w:b/>
          <w:color w:val="234C57"/>
          <w:sz w:val="30"/>
        </w:rPr>
        <w:t>Project Positioning</w:t>
      </w:r>
    </w:p>
    <w:p>
      <w:pPr>
        <w:spacing w:before="0" w:after="60" w:line="264" w:lineRule="auto"/>
      </w:pPr>
      <w:r>
        <w:rPr>
          <w:color w:val="3C3A37"/>
        </w:rPr>
        <w:t>The site is designed to feel like a book launch page combined with a speaker platform. It communicates credibility, personal story, mission, and audience potential in a format that is easy for a publisher to evaluate.</w:t>
      </w:r>
    </w:p>
    <w:p>
      <w:pPr>
        <w:spacing w:before="0" w:after="60" w:line="264" w:lineRule="auto"/>
      </w:pPr>
      <w:r>
        <w:rPr>
          <w:color w:val="3C3A37"/>
        </w:rPr>
        <w:t>Tone: Warm, credible, reflective, faith-centered, and leadership-oriented.</w:t>
      </w:r>
    </w:p>
    <w:p>
      <w:pPr>
        <w:spacing w:before="120" w:after="60" w:line="264" w:lineRule="auto"/>
      </w:pPr>
      <w:r>
        <w:rPr>
          <w:rFonts w:ascii="Aptos Display" w:hAnsi="Aptos Display"/>
          <w:b/>
          <w:color w:val="234C57"/>
          <w:sz w:val="25"/>
        </w:rPr>
        <w:t>Color Palette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34C57"/>
          </w:tcPr>
          <w:p>
            <w:r>
              <w:rPr>
                <w:b/>
                <w:color w:val="FFFFFF"/>
                <w:sz w:val="20"/>
              </w:rPr>
              <w:t>Color</w:t>
            </w:r>
          </w:p>
        </w:tc>
        <w:tc>
          <w:tcPr>
            <w:tcW w:type="dxa" w:w="3360"/>
            <w:shd w:fill="234C57"/>
          </w:tcPr>
          <w:p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3360"/>
            <w:shd w:fill="234C57"/>
          </w:tcPr>
          <w:p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3360"/>
            <w:shd w:fill="F3EFEA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Primary Teal</w:t>
            </w:r>
          </w:p>
        </w:tc>
        <w:tc>
          <w:tcPr>
            <w:tcW w:type="dxa" w:w="3360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#234C57</w:t>
            </w:r>
          </w:p>
        </w:tc>
        <w:tc>
          <w:tcPr>
            <w:tcW w:type="dxa" w:w="3360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Navigation, section headers, primary buttons, call-to-action backgrounds</w:t>
            </w:r>
          </w:p>
        </w:tc>
      </w:tr>
      <w:tr>
        <w:tc>
          <w:tcPr>
            <w:tcW w:type="dxa" w:w="3360"/>
            <w:shd w:fill="F3EFEA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Joy Gold</w:t>
            </w:r>
          </w:p>
        </w:tc>
        <w:tc>
          <w:tcPr>
            <w:tcW w:type="dxa" w:w="3360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#D6A32A</w:t>
            </w:r>
          </w:p>
        </w:tc>
        <w:tc>
          <w:tcPr>
            <w:tcW w:type="dxa" w:w="3360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Accent wordmark, emphasis, highlights, and callout markers</w:t>
            </w:r>
          </w:p>
        </w:tc>
      </w:tr>
      <w:tr>
        <w:tc>
          <w:tcPr>
            <w:tcW w:type="dxa" w:w="3360"/>
            <w:shd w:fill="F3EFEA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Charcoal</w:t>
            </w:r>
          </w:p>
        </w:tc>
        <w:tc>
          <w:tcPr>
            <w:tcW w:type="dxa" w:w="3360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#3C3A37</w:t>
            </w:r>
          </w:p>
        </w:tc>
        <w:tc>
          <w:tcPr>
            <w:tcW w:type="dxa" w:w="3360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Primary body text and high-contrast headings</w:t>
            </w:r>
          </w:p>
        </w:tc>
      </w:tr>
      <w:tr>
        <w:tc>
          <w:tcPr>
            <w:tcW w:type="dxa" w:w="3360"/>
            <w:shd w:fill="F3EFEA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Cream Background</w:t>
            </w:r>
          </w:p>
        </w:tc>
        <w:tc>
          <w:tcPr>
            <w:tcW w:type="dxa" w:w="3360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#F3EFEA</w:t>
            </w:r>
          </w:p>
        </w:tc>
        <w:tc>
          <w:tcPr>
            <w:tcW w:type="dxa" w:w="3360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Main page background and soft editorial sections</w:t>
            </w:r>
          </w:p>
        </w:tc>
      </w:tr>
      <w:tr>
        <w:tc>
          <w:tcPr>
            <w:tcW w:type="dxa" w:w="3360"/>
            <w:shd w:fill="F3EFEA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Soft Neutral</w:t>
            </w:r>
          </w:p>
        </w:tc>
        <w:tc>
          <w:tcPr>
            <w:tcW w:type="dxa" w:w="3360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#E7DFD5</w:t>
            </w:r>
          </w:p>
        </w:tc>
        <w:tc>
          <w:tcPr>
            <w:tcW w:type="dxa" w:w="3360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Card borders, light panels, and section separators</w:t>
            </w:r>
          </w:p>
        </w:tc>
      </w:tr>
    </w:tbl>
    <w:p/>
    <w:p>
      <w:pPr>
        <w:spacing w:before="120" w:after="60" w:line="264" w:lineRule="auto"/>
      </w:pPr>
      <w:r>
        <w:rPr>
          <w:rFonts w:ascii="Aptos Display" w:hAnsi="Aptos Display"/>
          <w:b/>
          <w:color w:val="234C57"/>
          <w:sz w:val="30"/>
        </w:rPr>
        <w:t>Site Goals</w:t>
      </w:r>
    </w:p>
    <w:p>
      <w:pPr>
        <w:spacing w:before="0" w:after="30" w:line="264" w:lineRule="auto"/>
        <w:ind w:left="288" w:hanging="230"/>
      </w:pPr>
      <w:r>
        <w:rPr>
          <w:b/>
          <w:color w:val="D6A32A"/>
        </w:rPr>
        <w:t xml:space="preserve">• </w:t>
      </w:r>
      <w:r>
        <w:rPr>
          <w:color w:val="3C3A37"/>
        </w:rPr>
        <w:t>Introduce the book clearly and establish immediate thematic relevance.</w:t>
      </w:r>
    </w:p>
    <w:p>
      <w:pPr>
        <w:spacing w:before="0" w:after="30" w:line="264" w:lineRule="auto"/>
        <w:ind w:left="288" w:hanging="230"/>
      </w:pPr>
      <w:r>
        <w:rPr>
          <w:b/>
          <w:color w:val="D6A32A"/>
        </w:rPr>
        <w:t xml:space="preserve">• </w:t>
      </w:r>
      <w:r>
        <w:rPr>
          <w:color w:val="3C3A37"/>
        </w:rPr>
        <w:t>Present the author as both personable and authoritative on the topic.</w:t>
      </w:r>
    </w:p>
    <w:p>
      <w:pPr>
        <w:spacing w:before="0" w:after="30" w:line="264" w:lineRule="auto"/>
        <w:ind w:left="288" w:hanging="230"/>
      </w:pPr>
      <w:r>
        <w:rPr>
          <w:b/>
          <w:color w:val="D6A32A"/>
        </w:rPr>
        <w:t xml:space="preserve">• </w:t>
      </w:r>
      <w:r>
        <w:rPr>
          <w:color w:val="3C3A37"/>
        </w:rPr>
        <w:t>Capture launch-list signups and speaking and media inquiries.</w:t>
      </w:r>
    </w:p>
    <w:p>
      <w:pPr>
        <w:spacing w:before="0" w:after="30" w:line="264" w:lineRule="auto"/>
        <w:ind w:left="288" w:hanging="230"/>
      </w:pPr>
      <w:r>
        <w:rPr>
          <w:b/>
          <w:color w:val="D6A32A"/>
        </w:rPr>
        <w:t xml:space="preserve">• </w:t>
      </w:r>
      <w:r>
        <w:rPr>
          <w:color w:val="3C3A37"/>
        </w:rPr>
        <w:t>Demonstrate platform readiness to a prospective publisher.</w:t>
      </w:r>
    </w:p>
    <w:p>
      <w:pPr>
        <w:spacing w:before="120" w:after="60" w:line="264" w:lineRule="auto"/>
      </w:pPr>
      <w:r>
        <w:rPr>
          <w:rFonts w:ascii="Aptos Display" w:hAnsi="Aptos Display"/>
          <w:b/>
          <w:color w:val="234C57"/>
          <w:sz w:val="30"/>
        </w:rPr>
        <w:t>Page-by-Page Experience</w:t>
      </w:r>
    </w:p>
    <w:p>
      <w:pPr>
        <w:spacing w:before="120" w:after="60" w:line="264" w:lineRule="auto"/>
      </w:pPr>
      <w:r>
        <w:rPr>
          <w:rFonts w:ascii="Aptos Display" w:hAnsi="Aptos Display"/>
          <w:b/>
          <w:color w:val="234C57"/>
          <w:sz w:val="25"/>
        </w:rPr>
        <w:t>Page 1 — Home</w:t>
      </w:r>
    </w:p>
    <w:p>
      <w:pPr>
        <w:spacing w:before="0" w:after="60" w:line="264" w:lineRule="auto"/>
      </w:pPr>
      <w:r>
        <w:rPr>
          <w:color w:val="3C3A37"/>
        </w:rPr>
        <w:t>Purpose: Introduce the book, establish credibility, and capture interest.</w:t>
      </w:r>
    </w:p>
    <w:p>
      <w:pPr>
        <w:spacing w:before="0" w:after="30" w:line="264" w:lineRule="auto"/>
        <w:ind w:left="288" w:hanging="230"/>
      </w:pPr>
      <w:r>
        <w:rPr>
          <w:b/>
          <w:color w:val="D6A32A"/>
        </w:rPr>
        <w:t xml:space="preserve">• </w:t>
      </w:r>
      <w:r>
        <w:rPr>
          <w:color w:val="3C3A37"/>
        </w:rPr>
        <w:t>Hero Section: two-column layout with book title, subtitle, positioning statement, and launch-list call to action.</w:t>
      </w:r>
    </w:p>
    <w:p>
      <w:pPr>
        <w:spacing w:before="0" w:after="30" w:line="264" w:lineRule="auto"/>
        <w:ind w:left="288" w:hanging="230"/>
      </w:pPr>
      <w:r>
        <w:rPr>
          <w:b/>
          <w:color w:val="D6A32A"/>
        </w:rPr>
        <w:t xml:space="preserve">• </w:t>
      </w:r>
      <w:r>
        <w:rPr>
          <w:color w:val="3C3A37"/>
        </w:rPr>
        <w:t>Live-site hero visual direction: collage image with overlay line, “Join the movement.”</w:t>
      </w:r>
    </w:p>
    <w:p>
      <w:pPr>
        <w:spacing w:before="0" w:after="30" w:line="264" w:lineRule="auto"/>
        <w:ind w:left="288" w:hanging="230"/>
      </w:pPr>
      <w:r>
        <w:rPr>
          <w:b/>
          <w:color w:val="D6A32A"/>
        </w:rPr>
        <w:t xml:space="preserve">• </w:t>
      </w:r>
      <w:r>
        <w:rPr>
          <w:color w:val="3C3A37"/>
        </w:rPr>
        <w:t>Book Message section: “Why Choosing Joy Matters,” opening with the idea that pain is universal, but staying stuck is not inevitable.</w:t>
      </w:r>
    </w:p>
    <w:p>
      <w:pPr>
        <w:spacing w:before="0" w:after="30" w:line="264" w:lineRule="auto"/>
        <w:ind w:left="288" w:hanging="230"/>
      </w:pPr>
      <w:r>
        <w:rPr>
          <w:b/>
          <w:color w:val="D6A32A"/>
        </w:rPr>
        <w:t xml:space="preserve">• </w:t>
      </w:r>
      <w:r>
        <w:rPr>
          <w:color w:val="3C3A37"/>
        </w:rPr>
        <w:t>Credibility cards: A Message of Healing, Community Leadership, and A Movement Toward Joy.</w:t>
      </w:r>
    </w:p>
    <w:p>
      <w:pPr>
        <w:spacing w:before="0" w:after="30" w:line="264" w:lineRule="auto"/>
        <w:ind w:left="288" w:hanging="230"/>
      </w:pPr>
      <w:r>
        <w:rPr>
          <w:b/>
          <w:color w:val="D6A32A"/>
        </w:rPr>
        <w:t xml:space="preserve">• </w:t>
      </w:r>
      <w:r>
        <w:rPr>
          <w:color w:val="3C3A37"/>
        </w:rPr>
        <w:t>Author feature: “Meet the Author,” combining pastoral insight, personal experience, and leadership positioning.</w:t>
      </w:r>
    </w:p>
    <w:p>
      <w:pPr>
        <w:spacing w:before="0" w:after="30" w:line="264" w:lineRule="auto"/>
        <w:ind w:left="288" w:hanging="230"/>
      </w:pPr>
      <w:r>
        <w:rPr>
          <w:b/>
          <w:color w:val="D6A32A"/>
        </w:rPr>
        <w:t xml:space="preserve">• </w:t>
      </w:r>
      <w:r>
        <w:rPr>
          <w:color w:val="3C3A37"/>
        </w:rPr>
        <w:t>Call to Action: teal background, white text, email field, and Join the List button.</w:t>
      </w:r>
    </w:p>
    <w:p>
      <w:pPr>
        <w:spacing w:before="120" w:after="60" w:line="264" w:lineRule="auto"/>
      </w:pPr>
      <w:r>
        <w:rPr>
          <w:rFonts w:ascii="Aptos Display" w:hAnsi="Aptos Display"/>
          <w:b/>
          <w:color w:val="234C57"/>
          <w:sz w:val="25"/>
        </w:rPr>
        <w:t>Page 2 — About</w:t>
      </w:r>
    </w:p>
    <w:p>
      <w:pPr>
        <w:spacing w:before="0" w:after="60" w:line="264" w:lineRule="auto"/>
      </w:pPr>
      <w:r>
        <w:rPr>
          <w:color w:val="3C3A37"/>
        </w:rPr>
        <w:t>Purpose: Help the publisher understand the book and the author platform.</w:t>
      </w:r>
    </w:p>
    <w:p>
      <w:pPr>
        <w:spacing w:before="0" w:after="30" w:line="264" w:lineRule="auto"/>
        <w:ind w:left="288" w:hanging="230"/>
      </w:pPr>
      <w:r>
        <w:rPr>
          <w:b/>
          <w:color w:val="D6A32A"/>
        </w:rPr>
        <w:t xml:space="preserve">• </w:t>
      </w:r>
      <w:r>
        <w:rPr>
          <w:color w:val="3C3A37"/>
        </w:rPr>
        <w:t>About the Book: audience framing for readers navigating loss, uncertainty, or personal transition.</w:t>
      </w:r>
    </w:p>
    <w:p>
      <w:pPr>
        <w:spacing w:before="0" w:after="30" w:line="264" w:lineRule="auto"/>
        <w:ind w:left="288" w:hanging="230"/>
      </w:pPr>
      <w:r>
        <w:rPr>
          <w:b/>
          <w:color w:val="D6A32A"/>
        </w:rPr>
        <w:t xml:space="preserve">• </w:t>
      </w:r>
      <w:r>
        <w:rPr>
          <w:color w:val="3C3A37"/>
        </w:rPr>
        <w:t>Reader outcomes: facing difficult seasons honestly, letting go, reclaiming identity and purpose, and moving forward with courage and hope.</w:t>
      </w:r>
    </w:p>
    <w:p>
      <w:pPr>
        <w:spacing w:before="0" w:after="30" w:line="264" w:lineRule="auto"/>
        <w:ind w:left="288" w:hanging="230"/>
      </w:pPr>
      <w:r>
        <w:rPr>
          <w:b/>
          <w:color w:val="D6A32A"/>
        </w:rPr>
        <w:t xml:space="preserve">• </w:t>
      </w:r>
      <w:r>
        <w:rPr>
          <w:color w:val="3C3A37"/>
        </w:rPr>
        <w:t>The Story Behind the Message: lived experience, leadership, speaking, mentoring, and community engagement.</w:t>
      </w:r>
    </w:p>
    <w:p>
      <w:pPr>
        <w:spacing w:before="0" w:after="30" w:line="264" w:lineRule="auto"/>
        <w:ind w:left="288" w:hanging="230"/>
      </w:pPr>
      <w:r>
        <w:rPr>
          <w:b/>
          <w:color w:val="D6A32A"/>
        </w:rPr>
        <w:t xml:space="preserve">• </w:t>
      </w:r>
      <w:r>
        <w:rPr>
          <w:color w:val="3C3A37"/>
        </w:rPr>
        <w:t>Beyond the Book: speaking engagements, community leadership, faith-based mentorship, and audience development.</w:t>
      </w:r>
    </w:p>
    <w:p>
      <w:pPr>
        <w:spacing w:before="120" w:after="60" w:line="264" w:lineRule="auto"/>
      </w:pPr>
      <w:r>
        <w:rPr>
          <w:rFonts w:ascii="Aptos Display" w:hAnsi="Aptos Display"/>
          <w:b/>
          <w:color w:val="234C57"/>
          <w:sz w:val="25"/>
        </w:rPr>
        <w:t>Page 3 — Contact</w:t>
      </w:r>
    </w:p>
    <w:p>
      <w:pPr>
        <w:spacing w:before="0" w:after="60" w:line="264" w:lineRule="auto"/>
      </w:pPr>
      <w:r>
        <w:rPr>
          <w:color w:val="3C3A37"/>
        </w:rPr>
        <w:t>Purpose: Allow publishers, event planners, and readers to connect.</w:t>
      </w:r>
    </w:p>
    <w:p>
      <w:pPr>
        <w:spacing w:before="0" w:after="30" w:line="264" w:lineRule="auto"/>
        <w:ind w:left="288" w:hanging="230"/>
      </w:pPr>
      <w:r>
        <w:rPr>
          <w:b/>
          <w:color w:val="D6A32A"/>
        </w:rPr>
        <w:t xml:space="preserve">• </w:t>
      </w:r>
      <w:r>
        <w:rPr>
          <w:color w:val="3C3A37"/>
        </w:rPr>
        <w:t>Contact intro that invites speaking engagements, media interviews, partnership opportunities, and release updates.</w:t>
      </w:r>
    </w:p>
    <w:p>
      <w:pPr>
        <w:spacing w:before="0" w:after="30" w:line="264" w:lineRule="auto"/>
        <w:ind w:left="288" w:hanging="230"/>
      </w:pPr>
      <w:r>
        <w:rPr>
          <w:b/>
          <w:color w:val="D6A32A"/>
        </w:rPr>
        <w:t xml:space="preserve">• </w:t>
      </w:r>
      <w:r>
        <w:rPr>
          <w:color w:val="3C3A37"/>
        </w:rPr>
        <w:t>Contact cards for email, speaking availability, and media discussions.</w:t>
      </w:r>
    </w:p>
    <w:p>
      <w:pPr>
        <w:spacing w:before="0" w:after="30" w:line="264" w:lineRule="auto"/>
        <w:ind w:left="288" w:hanging="230"/>
      </w:pPr>
      <w:r>
        <w:rPr>
          <w:b/>
          <w:color w:val="D6A32A"/>
        </w:rPr>
        <w:t xml:space="preserve">• </w:t>
      </w:r>
      <w:r>
        <w:rPr>
          <w:color w:val="3C3A37"/>
        </w:rPr>
        <w:t>Contact form fields: Name, Email, and Message, with a Send Message button.</w:t>
      </w:r>
    </w:p>
    <w:p>
      <w:pPr>
        <w:spacing w:before="0" w:after="30" w:line="264" w:lineRule="auto"/>
        <w:ind w:left="288" w:hanging="230"/>
      </w:pPr>
      <w:r>
        <w:rPr>
          <w:b/>
          <w:color w:val="D6A32A"/>
        </w:rPr>
        <w:t xml:space="preserve">• </w:t>
      </w:r>
      <w:r>
        <w:rPr>
          <w:color w:val="3C3A37"/>
        </w:rPr>
        <w:t>Footer content: DB Ventures, Home, About, Contact, and © DB Ventures.</w:t>
      </w:r>
    </w:p>
    <w:p>
      <w:pPr>
        <w:spacing w:before="120" w:after="60" w:line="264" w:lineRule="auto"/>
      </w:pPr>
      <w:r>
        <w:rPr>
          <w:rFonts w:ascii="Aptos Display" w:hAnsi="Aptos Display"/>
          <w:b/>
          <w:color w:val="234C57"/>
          <w:sz w:val="30"/>
        </w:rPr>
        <w:t>Site Folder Skeleton</w:t>
      </w:r>
    </w:p>
    <w:p>
      <w:pPr>
        <w:spacing w:before="0" w:after="60" w:line="264" w:lineRule="auto"/>
      </w:pPr>
      <w:r>
        <w:rPr>
          <w:color w:val="3C3A37"/>
        </w:rPr>
        <w:t>The front-end skeleton has been expanded to include a lightweight data layer for storing launch-list signups and contact form submissions. This makes the concept easier to evaluate as a real, buildable publishing asset.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4EF"/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choosing-joy-site/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├── index.html                  (Home)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├── about.html                  (About the book &amp; author)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├── contact.html                (Contact / signup)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├── css/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│   └── styles.css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├── js/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│   └── script.js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├── api/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│   ├── signup.js               (Receives launch-list form submissions)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│   └── contact.js              (Receives contact and speaking inquiries)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├── db/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│   ├── schema.sql              (Tables for signups and contact messages)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│   ├── migrations/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│   │   └── 001_init.sql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│   └── README.md               (Database setup notes)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├── config/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│   └── env.example             (Database URL, email settings, API keys)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│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└── server/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 xml:space="preserve">    └── database.js             (Connection helper for the form endpoints)</w:t>
            </w:r>
          </w:p>
        </w:tc>
      </w:tr>
    </w:tbl>
    <w:p/>
    <w:p>
      <w:pPr>
        <w:spacing w:before="120" w:after="60" w:line="264" w:lineRule="auto"/>
      </w:pPr>
      <w:r>
        <w:rPr>
          <w:rFonts w:ascii="Aptos Display" w:hAnsi="Aptos Display"/>
          <w:b/>
          <w:color w:val="234C57"/>
          <w:sz w:val="25"/>
        </w:rPr>
        <w:t>Recommended Signup Data Model</w:t>
      </w:r>
    </w:p>
    <w:p>
      <w:pPr>
        <w:spacing w:before="0" w:after="60" w:line="264" w:lineRule="auto"/>
      </w:pPr>
      <w:r>
        <w:rPr>
          <w:color w:val="3C3A37"/>
        </w:rPr>
        <w:t>Recommended production option: PostgreSQL, because it is simple, reliable, and flexible enough to support launch-list growth, speaking inquiries, analytics integrations, and future CRM syncing.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34C57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3360"/>
            <w:shd w:fill="234C57"/>
          </w:tcPr>
          <w:p>
            <w:r>
              <w:rPr>
                <w:b/>
                <w:color w:val="FFFFFF"/>
                <w:sz w:val="20"/>
              </w:rPr>
              <w:t>Core Fields</w:t>
            </w:r>
          </w:p>
        </w:tc>
        <w:tc>
          <w:tcPr>
            <w:tcW w:type="dxa" w:w="3360"/>
            <w:shd w:fill="234C57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360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launch_signups</w:t>
            </w:r>
          </w:p>
        </w:tc>
        <w:tc>
          <w:tcPr>
            <w:tcW w:type="dxa" w:w="3360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id, full_name, email, source_page, created_at</w:t>
            </w:r>
          </w:p>
        </w:tc>
        <w:tc>
          <w:tcPr>
            <w:tcW w:type="dxa" w:w="3360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Stores readers who join the launch list.</w:t>
            </w:r>
          </w:p>
        </w:tc>
      </w:tr>
      <w:tr>
        <w:tc>
          <w:tcPr>
            <w:tcW w:type="dxa" w:w="3360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contact_messages</w:t>
            </w:r>
          </w:p>
        </w:tc>
        <w:tc>
          <w:tcPr>
            <w:tcW w:type="dxa" w:w="3360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id, full_name, email, inquiry_type, message, created_at</w:t>
            </w:r>
          </w:p>
        </w:tc>
        <w:tc>
          <w:tcPr>
            <w:tcW w:type="dxa" w:w="3360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Stores publisher, media, and speaking inquiries.</w:t>
            </w:r>
          </w:p>
        </w:tc>
      </w:tr>
      <w:tr>
        <w:tc>
          <w:tcPr>
            <w:tcW w:type="dxa" w:w="3360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audit_log</w:t>
            </w:r>
          </w:p>
        </w:tc>
        <w:tc>
          <w:tcPr>
            <w:tcW w:type="dxa" w:w="3360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id, form_type, record_id, status, created_at</w:t>
            </w:r>
          </w:p>
        </w:tc>
        <w:tc>
          <w:tcPr>
            <w:tcW w:type="dxa" w:w="3360"/>
          </w:tcPr>
          <w:p>
            <w:pPr>
              <w:spacing w:before="0" w:after="0" w:line="264" w:lineRule="auto"/>
            </w:pPr>
            <w:r>
              <w:rPr>
                <w:sz w:val="19"/>
              </w:rPr>
              <w:t>Tracks form processing and delivery status.</w:t>
            </w:r>
          </w:p>
        </w:tc>
      </w:tr>
    </w:tbl>
    <w:p/>
    <w:p>
      <w:pPr>
        <w:spacing w:before="120" w:after="60" w:line="264" w:lineRule="auto"/>
      </w:pPr>
      <w:r>
        <w:rPr>
          <w:rFonts w:ascii="Aptos Display" w:hAnsi="Aptos Display"/>
          <w:b/>
          <w:color w:val="234C57"/>
          <w:sz w:val="25"/>
        </w:rPr>
        <w:t>Visual Layout Skeleton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DF9"/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NAVBAR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DB Ventures | Home | About | Contact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COMING SOON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Choosing Joy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How to Navigate Pain, Get Unstuck, and Reclaim Your Life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[ Join the Launch List ]      [ Contact / Speaking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 xml:space="preserve">        HERO VISUAL AREA (collage image in live site)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Why Choosing Joy Matters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Pain is universal...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message summary...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AUTHOR FEATURE AREA           MEET THE AUTHOR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 xml:space="preserve">                             author story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--------------------------------------------------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FOOTER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DB Ventures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3C3A37"/>
                <w:sz w:val="18"/>
              </w:rPr>
              <w:t>--------------------------------------------------</w:t>
            </w:r>
          </w:p>
        </w:tc>
      </w:tr>
    </w:tbl>
    <w:p/>
    <w:p>
      <w:pPr>
        <w:spacing w:before="120" w:after="60" w:line="264" w:lineRule="auto"/>
      </w:pPr>
      <w:r>
        <w:rPr>
          <w:rFonts w:ascii="Aptos Display" w:hAnsi="Aptos Display"/>
          <w:b/>
          <w:color w:val="234C57"/>
          <w:sz w:val="30"/>
        </w:rPr>
        <w:t>Publisher Value Summary</w:t>
      </w:r>
    </w:p>
    <w:p>
      <w:pPr>
        <w:spacing w:before="0" w:after="30" w:line="264" w:lineRule="auto"/>
        <w:ind w:left="288" w:hanging="230"/>
      </w:pPr>
      <w:r>
        <w:rPr>
          <w:b/>
          <w:color w:val="D6A32A"/>
        </w:rPr>
        <w:t xml:space="preserve">• </w:t>
      </w:r>
      <w:r>
        <w:rPr>
          <w:color w:val="3C3A37"/>
        </w:rPr>
        <w:t>The site clearly communicates the book’s promise and positioning.</w:t>
      </w:r>
    </w:p>
    <w:p>
      <w:pPr>
        <w:spacing w:before="0" w:after="30" w:line="264" w:lineRule="auto"/>
        <w:ind w:left="288" w:hanging="230"/>
      </w:pPr>
      <w:r>
        <w:rPr>
          <w:b/>
          <w:color w:val="D6A32A"/>
        </w:rPr>
        <w:t xml:space="preserve">• </w:t>
      </w:r>
      <w:r>
        <w:rPr>
          <w:color w:val="3C3A37"/>
        </w:rPr>
        <w:t>The author platform is presented in a way that supports credibility and marketability.</w:t>
      </w:r>
    </w:p>
    <w:p>
      <w:pPr>
        <w:spacing w:before="0" w:after="30" w:line="264" w:lineRule="auto"/>
        <w:ind w:left="288" w:hanging="230"/>
      </w:pPr>
      <w:r>
        <w:rPr>
          <w:b/>
          <w:color w:val="D6A32A"/>
        </w:rPr>
        <w:t xml:space="preserve">• </w:t>
      </w:r>
      <w:r>
        <w:rPr>
          <w:color w:val="3C3A37"/>
        </w:rPr>
        <w:t>The signup database creates a practical bridge between concept and launch execution.</w:t>
      </w:r>
    </w:p>
    <w:p>
      <w:pPr>
        <w:spacing w:before="0" w:after="30" w:line="264" w:lineRule="auto"/>
        <w:ind w:left="288" w:hanging="230"/>
      </w:pPr>
      <w:r>
        <w:rPr>
          <w:b/>
          <w:color w:val="D6A32A"/>
        </w:rPr>
        <w:t xml:space="preserve">• </w:t>
      </w:r>
      <w:r>
        <w:rPr>
          <w:color w:val="3C3A37"/>
        </w:rPr>
        <w:t>The three-page structure is lean, persuasive, and easy to build, review, and iterate.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