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7FD" w:rsidRPr="002F57FD" w:rsidRDefault="002F57FD" w:rsidP="00514A4B">
      <w:pPr>
        <w:jc w:val="center"/>
        <w:rPr>
          <w:rFonts w:ascii="Arial" w:hAnsi="Arial" w:cs="Arial"/>
          <w:b/>
          <w:caps/>
          <w:sz w:val="28"/>
          <w:szCs w:val="28"/>
        </w:rPr>
      </w:pPr>
      <w:bookmarkStart w:id="0" w:name="_GoBack"/>
      <w:bookmarkEnd w:id="0"/>
    </w:p>
    <w:p w:rsidR="006F2B04" w:rsidRPr="002F57FD" w:rsidRDefault="005C591F" w:rsidP="007D1DE0">
      <w:pPr>
        <w:jc w:val="center"/>
        <w:rPr>
          <w:rFonts w:ascii="Arial" w:hAnsi="Arial" w:cs="Arial"/>
          <w:b/>
          <w:caps/>
          <w:sz w:val="28"/>
          <w:szCs w:val="28"/>
        </w:rPr>
      </w:pPr>
      <w:r>
        <w:rPr>
          <w:rFonts w:ascii="Arial" w:hAnsi="Arial" w:cs="Arial"/>
          <w:b/>
          <w:caps/>
          <w:noProof/>
          <w:sz w:val="28"/>
          <w:szCs w:val="28"/>
        </w:rPr>
        <w:object w:dxaOrig="1440" w:dyaOrig="1440">
          <v:group id="_x0000_s1026" style="position:absolute;left:0;text-align:left;margin-left:-63.75pt;margin-top:-63pt;width:338.4pt;height:54pt;z-index:251657728" coordorigin="1080,540" coordsize="6768,1080">
            <v:shapetype id="_x0000_t202" coordsize="21600,21600" o:spt="202" path="m,l,21600r21600,l21600,xe">
              <v:stroke joinstyle="miter"/>
              <v:path gradientshapeok="t" o:connecttype="rect"/>
            </v:shapetype>
            <v:shape id="_x0000_s1027" type="#_x0000_t202" style="position:absolute;left:1656;top:540;width:6192;height:1080;mso-position-vertical-relative:page" strokecolor="white">
              <v:textbox style="mso-next-textbox:#_x0000_s1027">
                <w:txbxContent>
                  <w:p w:rsidR="006D5342" w:rsidRPr="000031EC" w:rsidRDefault="006D5342" w:rsidP="006D5342">
                    <w:pPr>
                      <w:pStyle w:val="Heading1"/>
                      <w:rPr>
                        <w:rFonts w:ascii="Times New Roman" w:hAnsi="Times New Roman"/>
                        <w:b/>
                        <w:sz w:val="24"/>
                        <w:szCs w:val="24"/>
                      </w:rPr>
                    </w:pPr>
                    <w:r w:rsidRPr="000031EC">
                      <w:rPr>
                        <w:rFonts w:ascii="Times New Roman" w:hAnsi="Times New Roman"/>
                        <w:b/>
                        <w:sz w:val="24"/>
                        <w:szCs w:val="24"/>
                      </w:rPr>
                      <w:t>DUKE UNIVERSITY HEALTH SYSTEM</w:t>
                    </w:r>
                  </w:p>
                  <w:p w:rsidR="006D5342" w:rsidRPr="000031EC" w:rsidRDefault="006D5342" w:rsidP="006D5342">
                    <w:pPr>
                      <w:pStyle w:val="Heading1"/>
                      <w:rPr>
                        <w:rFonts w:ascii="Times New Roman" w:hAnsi="Times New Roman"/>
                        <w:b/>
                        <w:sz w:val="24"/>
                        <w:szCs w:val="24"/>
                      </w:rPr>
                    </w:pPr>
                    <w:r w:rsidRPr="000031EC">
                      <w:rPr>
                        <w:rFonts w:ascii="Times New Roman" w:hAnsi="Times New Roman"/>
                        <w:b/>
                        <w:sz w:val="24"/>
                        <w:szCs w:val="24"/>
                      </w:rPr>
                      <w:t>Human Research Protection Program</w:t>
                    </w:r>
                  </w:p>
                  <w:p w:rsidR="006D5342" w:rsidRDefault="006D5342" w:rsidP="006D5342">
                    <w:pPr>
                      <w:pStyle w:val="Heading2"/>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080;top:583;width:591;height:857">
              <v:imagedata r:id="rId7" o:title=""/>
            </v:shape>
          </v:group>
          <o:OLEObject Type="Embed" ProgID="PBrush" ShapeID="_x0000_s1028" DrawAspect="Content" ObjectID="_1570887573" r:id="rId8"/>
        </w:object>
      </w:r>
      <w:r w:rsidR="004D65B8">
        <w:rPr>
          <w:rFonts w:ascii="Arial" w:hAnsi="Arial" w:cs="Arial"/>
          <w:b/>
          <w:caps/>
          <w:sz w:val="28"/>
          <w:szCs w:val="28"/>
        </w:rPr>
        <w:t xml:space="preserve">requirements of </w:t>
      </w:r>
      <w:r w:rsidR="000F67AD" w:rsidRPr="002F57FD">
        <w:rPr>
          <w:rFonts w:ascii="Arial" w:hAnsi="Arial" w:cs="Arial"/>
          <w:b/>
          <w:caps/>
          <w:sz w:val="28"/>
          <w:szCs w:val="28"/>
        </w:rPr>
        <w:t>STUDY PERSON</w:t>
      </w:r>
      <w:r w:rsidR="007D1DE0" w:rsidRPr="002F57FD">
        <w:rPr>
          <w:rFonts w:ascii="Arial" w:hAnsi="Arial" w:cs="Arial"/>
          <w:b/>
          <w:caps/>
          <w:sz w:val="28"/>
          <w:szCs w:val="28"/>
        </w:rPr>
        <w:t>nel</w:t>
      </w:r>
      <w:r w:rsidR="000F67AD" w:rsidRPr="002F57FD">
        <w:rPr>
          <w:rFonts w:ascii="Arial" w:hAnsi="Arial" w:cs="Arial"/>
          <w:b/>
          <w:caps/>
          <w:sz w:val="28"/>
          <w:szCs w:val="28"/>
        </w:rPr>
        <w:t xml:space="preserve"> CONDUCT</w:t>
      </w:r>
      <w:r w:rsidR="004D65B8">
        <w:rPr>
          <w:rFonts w:ascii="Arial" w:hAnsi="Arial" w:cs="Arial"/>
          <w:b/>
          <w:caps/>
          <w:sz w:val="28"/>
          <w:szCs w:val="28"/>
        </w:rPr>
        <w:t>ing</w:t>
      </w:r>
      <w:r w:rsidR="000F67AD" w:rsidRPr="002F57FD">
        <w:rPr>
          <w:rFonts w:ascii="Arial" w:hAnsi="Arial" w:cs="Arial"/>
          <w:b/>
          <w:caps/>
          <w:sz w:val="28"/>
          <w:szCs w:val="28"/>
        </w:rPr>
        <w:t xml:space="preserve"> THE CONSENT PROCESS</w:t>
      </w:r>
    </w:p>
    <w:p w:rsidR="00723F54" w:rsidRPr="002F57FD" w:rsidRDefault="002B62CD" w:rsidP="007D1DE0">
      <w:pPr>
        <w:jc w:val="center"/>
        <w:rPr>
          <w:rFonts w:ascii="Arial" w:hAnsi="Arial" w:cs="Arial"/>
          <w:b/>
          <w:caps/>
          <w:sz w:val="20"/>
          <w:szCs w:val="20"/>
        </w:rPr>
      </w:pPr>
      <w:r>
        <w:rPr>
          <w:rFonts w:ascii="Arial" w:hAnsi="Arial" w:cs="Arial"/>
          <w:b/>
          <w:caps/>
          <w:sz w:val="20"/>
          <w:szCs w:val="20"/>
        </w:rPr>
        <w:t>03/09/2016</w:t>
      </w:r>
    </w:p>
    <w:p w:rsidR="003944B0" w:rsidRPr="002F57FD" w:rsidRDefault="003944B0" w:rsidP="00D86D8A">
      <w:pPr>
        <w:rPr>
          <w:rFonts w:ascii="Arial" w:hAnsi="Arial" w:cs="Arial"/>
          <w:b/>
          <w:sz w:val="28"/>
          <w:szCs w:val="28"/>
        </w:rPr>
      </w:pPr>
    </w:p>
    <w:p w:rsidR="00472808" w:rsidRPr="002F57FD" w:rsidRDefault="00AF647A" w:rsidP="00DE1CF4">
      <w:pPr>
        <w:ind w:left="-540"/>
        <w:rPr>
          <w:rFonts w:ascii="Arial" w:hAnsi="Arial" w:cs="Arial"/>
          <w:sz w:val="22"/>
          <w:szCs w:val="22"/>
        </w:rPr>
      </w:pPr>
      <w:r w:rsidRPr="002F57FD">
        <w:rPr>
          <w:rFonts w:ascii="Arial" w:hAnsi="Arial" w:cs="Arial"/>
          <w:sz w:val="22"/>
          <w:szCs w:val="22"/>
        </w:rPr>
        <w:t xml:space="preserve">This document describes </w:t>
      </w:r>
      <w:r w:rsidR="007E5332" w:rsidRPr="002F57FD">
        <w:rPr>
          <w:rFonts w:ascii="Arial" w:hAnsi="Arial" w:cs="Arial"/>
          <w:sz w:val="22"/>
          <w:szCs w:val="22"/>
        </w:rPr>
        <w:t xml:space="preserve">the </w:t>
      </w:r>
      <w:r w:rsidR="00994978">
        <w:rPr>
          <w:rFonts w:ascii="Arial" w:hAnsi="Arial" w:cs="Arial"/>
          <w:sz w:val="22"/>
          <w:szCs w:val="22"/>
        </w:rPr>
        <w:t xml:space="preserve">requirements </w:t>
      </w:r>
      <w:r w:rsidR="007E5332" w:rsidRPr="002F57FD">
        <w:rPr>
          <w:rFonts w:ascii="Arial" w:hAnsi="Arial" w:cs="Arial"/>
          <w:sz w:val="22"/>
          <w:szCs w:val="22"/>
        </w:rPr>
        <w:t>for</w:t>
      </w:r>
      <w:r w:rsidR="000F67AD" w:rsidRPr="002F57FD">
        <w:rPr>
          <w:rFonts w:ascii="Arial" w:hAnsi="Arial" w:cs="Arial"/>
          <w:sz w:val="22"/>
          <w:szCs w:val="22"/>
        </w:rPr>
        <w:t xml:space="preserve"> a study team member to conduct the consent proce</w:t>
      </w:r>
      <w:r w:rsidR="007E5332" w:rsidRPr="002F57FD">
        <w:rPr>
          <w:rFonts w:ascii="Arial" w:hAnsi="Arial" w:cs="Arial"/>
          <w:sz w:val="22"/>
          <w:szCs w:val="22"/>
        </w:rPr>
        <w:t>ss in</w:t>
      </w:r>
      <w:r w:rsidR="009C2A63" w:rsidRPr="002F57FD">
        <w:rPr>
          <w:rFonts w:ascii="Arial" w:hAnsi="Arial" w:cs="Arial"/>
          <w:sz w:val="22"/>
          <w:szCs w:val="22"/>
        </w:rPr>
        <w:t xml:space="preserve"> a research study over which the DUHS Institutional Review Board (IRB) serves as the IRB-of-Record.</w:t>
      </w:r>
      <w:r w:rsidR="00723F54" w:rsidRPr="002F57FD">
        <w:rPr>
          <w:rFonts w:ascii="Arial" w:hAnsi="Arial" w:cs="Arial"/>
          <w:sz w:val="22"/>
          <w:szCs w:val="22"/>
        </w:rPr>
        <w:t xml:space="preserve">  The requirements described in this policy also apply to any study conducted by </w:t>
      </w:r>
      <w:r w:rsidR="00DA4461" w:rsidRPr="002F57FD">
        <w:rPr>
          <w:rFonts w:ascii="Arial" w:hAnsi="Arial" w:cs="Arial"/>
          <w:sz w:val="22"/>
          <w:szCs w:val="22"/>
        </w:rPr>
        <w:t>a Duke investigator</w:t>
      </w:r>
      <w:r w:rsidR="00723F54" w:rsidRPr="002F57FD">
        <w:rPr>
          <w:rFonts w:ascii="Arial" w:hAnsi="Arial" w:cs="Arial"/>
          <w:sz w:val="22"/>
          <w:szCs w:val="22"/>
        </w:rPr>
        <w:t xml:space="preserve"> that has external IRB oversight.</w:t>
      </w:r>
    </w:p>
    <w:p w:rsidR="009C2A63" w:rsidRPr="002F57FD" w:rsidRDefault="009C2A63" w:rsidP="00DE1CF4">
      <w:pPr>
        <w:ind w:left="-540"/>
        <w:rPr>
          <w:rFonts w:ascii="Arial" w:hAnsi="Arial" w:cs="Arial"/>
          <w:sz w:val="22"/>
          <w:szCs w:val="22"/>
        </w:rPr>
      </w:pPr>
    </w:p>
    <w:p w:rsidR="009C2A63" w:rsidRPr="002F57FD" w:rsidRDefault="009C2A63" w:rsidP="00DE1CF4">
      <w:pPr>
        <w:ind w:left="-540"/>
        <w:rPr>
          <w:rFonts w:ascii="Arial" w:hAnsi="Arial" w:cs="Arial"/>
          <w:sz w:val="22"/>
          <w:szCs w:val="22"/>
        </w:rPr>
      </w:pPr>
      <w:r w:rsidRPr="002F57FD">
        <w:rPr>
          <w:rFonts w:ascii="Arial" w:hAnsi="Arial" w:cs="Arial"/>
          <w:sz w:val="22"/>
          <w:szCs w:val="22"/>
        </w:rPr>
        <w:t>The DUHS IRB requires that only appropriately trained and qualified personnel conduct the consent process for research studies.  Appropriately trained and qualified personnel are those study team members who have met the following criteria:</w:t>
      </w:r>
    </w:p>
    <w:p w:rsidR="009C2A63" w:rsidRPr="002F57FD" w:rsidRDefault="009C2A63" w:rsidP="00DE1CF4">
      <w:pPr>
        <w:ind w:left="-540"/>
        <w:rPr>
          <w:rFonts w:ascii="Arial" w:hAnsi="Arial" w:cs="Arial"/>
          <w:sz w:val="22"/>
          <w:szCs w:val="22"/>
        </w:rPr>
      </w:pPr>
    </w:p>
    <w:p w:rsidR="009C2A63" w:rsidRPr="002F57FD" w:rsidRDefault="009C2A63" w:rsidP="004D65B8">
      <w:pPr>
        <w:numPr>
          <w:ilvl w:val="0"/>
          <w:numId w:val="5"/>
        </w:numPr>
        <w:rPr>
          <w:rFonts w:ascii="Arial" w:hAnsi="Arial" w:cs="Arial"/>
          <w:sz w:val="22"/>
          <w:szCs w:val="22"/>
        </w:rPr>
      </w:pPr>
      <w:r w:rsidRPr="002F57FD">
        <w:rPr>
          <w:rFonts w:ascii="Arial" w:hAnsi="Arial" w:cs="Arial"/>
          <w:sz w:val="22"/>
          <w:szCs w:val="22"/>
        </w:rPr>
        <w:t>Completed all institutional training</w:t>
      </w:r>
      <w:r w:rsidR="00994951" w:rsidRPr="002F57FD">
        <w:rPr>
          <w:rFonts w:ascii="Arial" w:hAnsi="Arial" w:cs="Arial"/>
          <w:sz w:val="22"/>
          <w:szCs w:val="22"/>
        </w:rPr>
        <w:t>, including CITI training</w:t>
      </w:r>
      <w:r w:rsidR="004D65B8">
        <w:rPr>
          <w:rFonts w:ascii="Arial" w:hAnsi="Arial" w:cs="Arial"/>
          <w:sz w:val="22"/>
          <w:szCs w:val="22"/>
        </w:rPr>
        <w:t xml:space="preserve"> and </w:t>
      </w:r>
      <w:r w:rsidR="004D65B8" w:rsidRPr="004D65B8">
        <w:rPr>
          <w:rFonts w:ascii="Arial" w:hAnsi="Arial" w:cs="Arial"/>
          <w:sz w:val="22"/>
          <w:szCs w:val="22"/>
        </w:rPr>
        <w:t>Duke Human Research Training (DHRT)</w:t>
      </w:r>
      <w:r w:rsidR="00994951" w:rsidRPr="002F57FD">
        <w:rPr>
          <w:rFonts w:ascii="Arial" w:hAnsi="Arial" w:cs="Arial"/>
          <w:sz w:val="22"/>
          <w:szCs w:val="22"/>
        </w:rPr>
        <w:t>,</w:t>
      </w:r>
      <w:r w:rsidRPr="002F57FD">
        <w:rPr>
          <w:rFonts w:ascii="Arial" w:hAnsi="Arial" w:cs="Arial"/>
          <w:sz w:val="22"/>
          <w:szCs w:val="22"/>
        </w:rPr>
        <w:t xml:space="preserve"> required for individuals conducting research with human subjects; and</w:t>
      </w:r>
    </w:p>
    <w:p w:rsidR="009C2A63" w:rsidRPr="002F57FD" w:rsidRDefault="009C2A63" w:rsidP="009C2A63">
      <w:pPr>
        <w:numPr>
          <w:ilvl w:val="0"/>
          <w:numId w:val="5"/>
        </w:numPr>
        <w:rPr>
          <w:rFonts w:ascii="Arial" w:hAnsi="Arial" w:cs="Arial"/>
          <w:sz w:val="22"/>
          <w:szCs w:val="22"/>
        </w:rPr>
      </w:pPr>
      <w:r w:rsidRPr="002F57FD">
        <w:rPr>
          <w:rFonts w:ascii="Arial" w:hAnsi="Arial" w:cs="Arial"/>
          <w:sz w:val="22"/>
          <w:szCs w:val="22"/>
        </w:rPr>
        <w:t>Completed all specific DOCR training involving the consent process; and</w:t>
      </w:r>
    </w:p>
    <w:p w:rsidR="009C2A63" w:rsidRPr="002F57FD" w:rsidRDefault="00637937" w:rsidP="009C2A63">
      <w:pPr>
        <w:numPr>
          <w:ilvl w:val="0"/>
          <w:numId w:val="5"/>
        </w:numPr>
        <w:rPr>
          <w:rFonts w:ascii="Arial" w:hAnsi="Arial" w:cs="Arial"/>
          <w:sz w:val="22"/>
          <w:szCs w:val="22"/>
        </w:rPr>
      </w:pPr>
      <w:r w:rsidRPr="002F57FD">
        <w:rPr>
          <w:rFonts w:ascii="Arial" w:hAnsi="Arial" w:cs="Arial"/>
          <w:sz w:val="22"/>
          <w:szCs w:val="22"/>
        </w:rPr>
        <w:t xml:space="preserve">Possess </w:t>
      </w:r>
      <w:r w:rsidR="009C2A63" w:rsidRPr="002F57FD">
        <w:rPr>
          <w:rFonts w:ascii="Arial" w:hAnsi="Arial" w:cs="Arial"/>
          <w:sz w:val="22"/>
          <w:szCs w:val="22"/>
        </w:rPr>
        <w:t>sufficient knowledge of the study, as determined by the Principal Investigator (PI)</w:t>
      </w:r>
      <w:r w:rsidR="00994951" w:rsidRPr="002F57FD">
        <w:rPr>
          <w:rFonts w:ascii="Arial" w:hAnsi="Arial" w:cs="Arial"/>
          <w:sz w:val="22"/>
          <w:szCs w:val="22"/>
        </w:rPr>
        <w:t>,</w:t>
      </w:r>
      <w:r w:rsidR="009C2A63" w:rsidRPr="002F57FD">
        <w:rPr>
          <w:rFonts w:ascii="Arial" w:hAnsi="Arial" w:cs="Arial"/>
          <w:sz w:val="22"/>
          <w:szCs w:val="22"/>
        </w:rPr>
        <w:t xml:space="preserve"> to be able to adequately address all questions from a potential subject; and</w:t>
      </w:r>
    </w:p>
    <w:p w:rsidR="009C2A63" w:rsidRPr="002F57FD" w:rsidRDefault="009C2A63" w:rsidP="009C2A63">
      <w:pPr>
        <w:numPr>
          <w:ilvl w:val="0"/>
          <w:numId w:val="5"/>
        </w:numPr>
        <w:rPr>
          <w:rFonts w:ascii="Arial" w:hAnsi="Arial" w:cs="Arial"/>
          <w:sz w:val="22"/>
          <w:szCs w:val="22"/>
        </w:rPr>
      </w:pPr>
      <w:r w:rsidRPr="002F57FD">
        <w:rPr>
          <w:rFonts w:ascii="Arial" w:hAnsi="Arial" w:cs="Arial"/>
          <w:sz w:val="22"/>
          <w:szCs w:val="22"/>
        </w:rPr>
        <w:t xml:space="preserve">Are listed </w:t>
      </w:r>
      <w:r w:rsidR="00994978">
        <w:rPr>
          <w:rFonts w:ascii="Arial" w:hAnsi="Arial" w:cs="Arial"/>
          <w:sz w:val="22"/>
          <w:szCs w:val="22"/>
        </w:rPr>
        <w:t xml:space="preserve">on both </w:t>
      </w:r>
      <w:r w:rsidRPr="002F57FD">
        <w:rPr>
          <w:rFonts w:ascii="Arial" w:hAnsi="Arial" w:cs="Arial"/>
          <w:sz w:val="22"/>
          <w:szCs w:val="22"/>
        </w:rPr>
        <w:t xml:space="preserve"> Key Personnel </w:t>
      </w:r>
      <w:r w:rsidR="00994978">
        <w:rPr>
          <w:rFonts w:ascii="Arial" w:hAnsi="Arial" w:cs="Arial"/>
          <w:sz w:val="22"/>
          <w:szCs w:val="22"/>
        </w:rPr>
        <w:t xml:space="preserve">and </w:t>
      </w:r>
      <w:r w:rsidR="004D65B8">
        <w:rPr>
          <w:rFonts w:ascii="Arial" w:hAnsi="Arial" w:cs="Arial"/>
          <w:sz w:val="22"/>
          <w:szCs w:val="22"/>
        </w:rPr>
        <w:t>the Delegation of Authority Log</w:t>
      </w:r>
      <w:r w:rsidR="00994978">
        <w:rPr>
          <w:rFonts w:ascii="Arial" w:hAnsi="Arial" w:cs="Arial"/>
          <w:sz w:val="22"/>
          <w:szCs w:val="22"/>
        </w:rPr>
        <w:t xml:space="preserve"> for the study</w:t>
      </w:r>
    </w:p>
    <w:p w:rsidR="009C2A63" w:rsidRPr="002F57FD" w:rsidRDefault="009C2A63" w:rsidP="009C2A63">
      <w:pPr>
        <w:ind w:left="-540"/>
        <w:rPr>
          <w:rFonts w:ascii="Arial" w:hAnsi="Arial" w:cs="Arial"/>
          <w:sz w:val="22"/>
          <w:szCs w:val="22"/>
        </w:rPr>
      </w:pPr>
    </w:p>
    <w:p w:rsidR="007E5332" w:rsidRPr="002F57FD" w:rsidRDefault="007E5332" w:rsidP="009C2A63">
      <w:pPr>
        <w:ind w:left="-540"/>
        <w:rPr>
          <w:rFonts w:ascii="Arial" w:hAnsi="Arial" w:cs="Arial"/>
          <w:sz w:val="22"/>
          <w:szCs w:val="22"/>
        </w:rPr>
      </w:pPr>
      <w:r w:rsidRPr="002F57FD">
        <w:rPr>
          <w:rFonts w:ascii="Arial" w:hAnsi="Arial" w:cs="Arial"/>
          <w:sz w:val="22"/>
          <w:szCs w:val="22"/>
        </w:rPr>
        <w:t>The most appropriate individuals for this role on the study include the PI, co-PI, study coordinator, and regulatory coordinator; however, this does not preclude others on the study team from assuming this role provided the criteria described in this document are met.</w:t>
      </w:r>
    </w:p>
    <w:p w:rsidR="007E5332" w:rsidRPr="002F57FD" w:rsidRDefault="007E5332" w:rsidP="009C2A63">
      <w:pPr>
        <w:ind w:left="-540"/>
        <w:rPr>
          <w:rFonts w:ascii="Arial" w:hAnsi="Arial" w:cs="Arial"/>
          <w:sz w:val="22"/>
          <w:szCs w:val="22"/>
        </w:rPr>
      </w:pPr>
    </w:p>
    <w:p w:rsidR="00994951" w:rsidRPr="002F57FD" w:rsidRDefault="007E5332" w:rsidP="009C2A63">
      <w:pPr>
        <w:ind w:left="-540"/>
        <w:rPr>
          <w:rFonts w:ascii="Arial" w:hAnsi="Arial" w:cs="Arial"/>
          <w:sz w:val="22"/>
          <w:szCs w:val="22"/>
        </w:rPr>
      </w:pPr>
      <w:r w:rsidRPr="002F57FD">
        <w:rPr>
          <w:rFonts w:ascii="Arial" w:hAnsi="Arial" w:cs="Arial"/>
          <w:sz w:val="22"/>
          <w:szCs w:val="22"/>
        </w:rPr>
        <w:t>Ideally, all individuals who are designated to conduct the conse</w:t>
      </w:r>
      <w:r w:rsidR="008D3BCB" w:rsidRPr="002F57FD">
        <w:rPr>
          <w:rFonts w:ascii="Arial" w:hAnsi="Arial" w:cs="Arial"/>
          <w:sz w:val="22"/>
          <w:szCs w:val="22"/>
        </w:rPr>
        <w:t>nt process will</w:t>
      </w:r>
      <w:r w:rsidRPr="002F57FD">
        <w:rPr>
          <w:rFonts w:ascii="Arial" w:hAnsi="Arial" w:cs="Arial"/>
          <w:sz w:val="22"/>
          <w:szCs w:val="22"/>
        </w:rPr>
        <w:t xml:space="preserve"> possess prior experience in this role.  </w:t>
      </w:r>
      <w:r w:rsidR="009C2A63" w:rsidRPr="002F57FD">
        <w:rPr>
          <w:rFonts w:ascii="Arial" w:hAnsi="Arial" w:cs="Arial"/>
          <w:sz w:val="22"/>
          <w:szCs w:val="22"/>
        </w:rPr>
        <w:t xml:space="preserve">For those individuals who do not </w:t>
      </w:r>
      <w:r w:rsidR="00994951" w:rsidRPr="002F57FD">
        <w:rPr>
          <w:rFonts w:ascii="Arial" w:hAnsi="Arial" w:cs="Arial"/>
          <w:sz w:val="22"/>
          <w:szCs w:val="22"/>
        </w:rPr>
        <w:t xml:space="preserve">possess prior experience, the PI must implement a plan by which the individual is observed conducting consent at least </w:t>
      </w:r>
      <w:r w:rsidRPr="002F57FD">
        <w:rPr>
          <w:rFonts w:ascii="Arial" w:hAnsi="Arial" w:cs="Arial"/>
          <w:sz w:val="22"/>
          <w:szCs w:val="22"/>
        </w:rPr>
        <w:t xml:space="preserve">the </w:t>
      </w:r>
      <w:r w:rsidR="00994951" w:rsidRPr="002F57FD">
        <w:rPr>
          <w:rFonts w:ascii="Arial" w:hAnsi="Arial" w:cs="Arial"/>
          <w:sz w:val="22"/>
          <w:szCs w:val="22"/>
        </w:rPr>
        <w:t>first two times by an individual experienced in the process</w:t>
      </w:r>
      <w:r w:rsidRPr="002F57FD">
        <w:rPr>
          <w:rFonts w:ascii="Arial" w:hAnsi="Arial" w:cs="Arial"/>
          <w:sz w:val="22"/>
          <w:szCs w:val="22"/>
        </w:rPr>
        <w:t xml:space="preserve"> (“Observer”), and the Observer will provide immediate feedback, including corrective actions.  </w:t>
      </w:r>
      <w:r w:rsidR="004D65B8">
        <w:rPr>
          <w:rFonts w:ascii="Arial" w:hAnsi="Arial" w:cs="Arial"/>
          <w:sz w:val="22"/>
          <w:szCs w:val="22"/>
        </w:rPr>
        <w:t>Documentation of successful completion of informed consent observation must be maintained in accordance with individual CRU policies, e.g.</w:t>
      </w:r>
      <w:r w:rsidR="002B62CD">
        <w:rPr>
          <w:rFonts w:ascii="Arial" w:hAnsi="Arial" w:cs="Arial"/>
          <w:sz w:val="22"/>
          <w:szCs w:val="22"/>
        </w:rPr>
        <w:t>,</w:t>
      </w:r>
      <w:r w:rsidR="004D65B8">
        <w:rPr>
          <w:rFonts w:ascii="Arial" w:hAnsi="Arial" w:cs="Arial"/>
          <w:sz w:val="22"/>
          <w:szCs w:val="22"/>
        </w:rPr>
        <w:t xml:space="preserve"> personnel files, study regulatory binder, etc. </w:t>
      </w:r>
    </w:p>
    <w:p w:rsidR="007E5332" w:rsidRPr="002F57FD" w:rsidRDefault="007E5332" w:rsidP="009C2A63">
      <w:pPr>
        <w:ind w:left="-540"/>
        <w:rPr>
          <w:rFonts w:ascii="Arial" w:hAnsi="Arial" w:cs="Arial"/>
          <w:sz w:val="22"/>
          <w:szCs w:val="22"/>
        </w:rPr>
      </w:pPr>
    </w:p>
    <w:p w:rsidR="00994951" w:rsidRPr="002F57FD" w:rsidRDefault="00994951" w:rsidP="009C2A63">
      <w:pPr>
        <w:ind w:left="-540"/>
        <w:rPr>
          <w:rFonts w:ascii="Arial" w:hAnsi="Arial" w:cs="Arial"/>
          <w:sz w:val="22"/>
          <w:szCs w:val="22"/>
        </w:rPr>
      </w:pPr>
      <w:r w:rsidRPr="002F57FD">
        <w:rPr>
          <w:rFonts w:ascii="Arial" w:hAnsi="Arial" w:cs="Arial"/>
          <w:sz w:val="22"/>
          <w:szCs w:val="22"/>
        </w:rPr>
        <w:t xml:space="preserve">Individuals who are considered by the DUHS IRB as </w:t>
      </w:r>
      <w:r w:rsidRPr="002F57FD">
        <w:rPr>
          <w:rFonts w:ascii="Arial" w:hAnsi="Arial" w:cs="Arial"/>
          <w:sz w:val="22"/>
          <w:szCs w:val="22"/>
          <w:u w:val="single"/>
        </w:rPr>
        <w:t>not</w:t>
      </w:r>
      <w:r w:rsidRPr="002F57FD">
        <w:rPr>
          <w:rFonts w:ascii="Arial" w:hAnsi="Arial" w:cs="Arial"/>
          <w:sz w:val="22"/>
          <w:szCs w:val="22"/>
        </w:rPr>
        <w:t xml:space="preserve"> qualified to conduct the consent process under any circumstances include:</w:t>
      </w:r>
    </w:p>
    <w:p w:rsidR="00994951" w:rsidRPr="002F57FD" w:rsidRDefault="00994951" w:rsidP="009C2A63">
      <w:pPr>
        <w:ind w:left="-540"/>
        <w:rPr>
          <w:rFonts w:ascii="Arial" w:hAnsi="Arial" w:cs="Arial"/>
          <w:sz w:val="22"/>
          <w:szCs w:val="22"/>
        </w:rPr>
      </w:pPr>
    </w:p>
    <w:p w:rsidR="00994951" w:rsidRPr="002F57FD" w:rsidRDefault="00994951" w:rsidP="00994951">
      <w:pPr>
        <w:numPr>
          <w:ilvl w:val="0"/>
          <w:numId w:val="6"/>
        </w:numPr>
        <w:rPr>
          <w:rFonts w:ascii="Arial" w:hAnsi="Arial" w:cs="Arial"/>
          <w:sz w:val="22"/>
          <w:szCs w:val="22"/>
        </w:rPr>
      </w:pPr>
      <w:r w:rsidRPr="002F57FD">
        <w:rPr>
          <w:rFonts w:ascii="Arial" w:hAnsi="Arial" w:cs="Arial"/>
          <w:sz w:val="22"/>
          <w:szCs w:val="22"/>
        </w:rPr>
        <w:t>Volunteers</w:t>
      </w:r>
    </w:p>
    <w:p w:rsidR="00994951" w:rsidRPr="002F57FD" w:rsidRDefault="00994951" w:rsidP="00994951">
      <w:pPr>
        <w:numPr>
          <w:ilvl w:val="0"/>
          <w:numId w:val="6"/>
        </w:numPr>
        <w:rPr>
          <w:rFonts w:ascii="Arial" w:hAnsi="Arial" w:cs="Arial"/>
          <w:sz w:val="22"/>
          <w:szCs w:val="22"/>
        </w:rPr>
      </w:pPr>
      <w:r w:rsidRPr="002F57FD">
        <w:rPr>
          <w:rFonts w:ascii="Arial" w:hAnsi="Arial" w:cs="Arial"/>
          <w:sz w:val="22"/>
          <w:szCs w:val="22"/>
        </w:rPr>
        <w:t>Minors</w:t>
      </w:r>
    </w:p>
    <w:p w:rsidR="00994951" w:rsidRPr="002F57FD" w:rsidRDefault="00994951" w:rsidP="00994951">
      <w:pPr>
        <w:numPr>
          <w:ilvl w:val="0"/>
          <w:numId w:val="6"/>
        </w:numPr>
        <w:rPr>
          <w:rFonts w:ascii="Arial" w:hAnsi="Arial" w:cs="Arial"/>
          <w:sz w:val="22"/>
          <w:szCs w:val="22"/>
        </w:rPr>
      </w:pPr>
      <w:r w:rsidRPr="002F57FD">
        <w:rPr>
          <w:rFonts w:ascii="Arial" w:hAnsi="Arial" w:cs="Arial"/>
          <w:sz w:val="22"/>
          <w:szCs w:val="22"/>
        </w:rPr>
        <w:t>Administrative support personnel</w:t>
      </w:r>
    </w:p>
    <w:p w:rsidR="00840BEB" w:rsidRPr="002F57FD" w:rsidRDefault="00840BEB" w:rsidP="00994951">
      <w:pPr>
        <w:numPr>
          <w:ilvl w:val="0"/>
          <w:numId w:val="6"/>
        </w:numPr>
        <w:rPr>
          <w:rFonts w:ascii="Arial" w:hAnsi="Arial" w:cs="Arial"/>
          <w:sz w:val="22"/>
          <w:szCs w:val="22"/>
        </w:rPr>
      </w:pPr>
      <w:r w:rsidRPr="002F57FD">
        <w:rPr>
          <w:rFonts w:ascii="Arial" w:hAnsi="Arial" w:cs="Arial"/>
          <w:sz w:val="22"/>
          <w:szCs w:val="22"/>
        </w:rPr>
        <w:t>Study team members with limiting conflicts-of-interest</w:t>
      </w:r>
    </w:p>
    <w:p w:rsidR="009C2A63" w:rsidRPr="002F57FD" w:rsidRDefault="009C2A63" w:rsidP="009C2A63">
      <w:pPr>
        <w:ind w:left="1440"/>
        <w:rPr>
          <w:rFonts w:ascii="Arial" w:hAnsi="Arial" w:cs="Arial"/>
          <w:sz w:val="22"/>
          <w:szCs w:val="22"/>
        </w:rPr>
      </w:pPr>
    </w:p>
    <w:p w:rsidR="009C2A63" w:rsidRPr="002F57FD" w:rsidRDefault="00723F54" w:rsidP="0081560D">
      <w:pPr>
        <w:ind w:left="-540"/>
        <w:rPr>
          <w:rFonts w:ascii="Arial" w:hAnsi="Arial" w:cs="Arial"/>
          <w:sz w:val="22"/>
          <w:szCs w:val="22"/>
        </w:rPr>
      </w:pPr>
      <w:r w:rsidRPr="002F57FD">
        <w:rPr>
          <w:rFonts w:ascii="Arial" w:hAnsi="Arial" w:cs="Arial"/>
          <w:sz w:val="22"/>
          <w:szCs w:val="22"/>
        </w:rPr>
        <w:t xml:space="preserve">Graduate students, </w:t>
      </w:r>
      <w:r w:rsidR="00994951" w:rsidRPr="002F57FD">
        <w:rPr>
          <w:rFonts w:ascii="Arial" w:hAnsi="Arial" w:cs="Arial"/>
          <w:sz w:val="22"/>
          <w:szCs w:val="22"/>
        </w:rPr>
        <w:t>medical students</w:t>
      </w:r>
      <w:r w:rsidRPr="002F57FD">
        <w:rPr>
          <w:rFonts w:ascii="Arial" w:hAnsi="Arial" w:cs="Arial"/>
          <w:sz w:val="22"/>
          <w:szCs w:val="22"/>
        </w:rPr>
        <w:t>, residents, and fellows</w:t>
      </w:r>
      <w:r w:rsidR="00994951" w:rsidRPr="002F57FD">
        <w:rPr>
          <w:rFonts w:ascii="Arial" w:hAnsi="Arial" w:cs="Arial"/>
          <w:sz w:val="22"/>
          <w:szCs w:val="22"/>
        </w:rPr>
        <w:t xml:space="preserve"> at Duke may conduct the consent process if the four criteria above are met, and the observation period described above is completed.</w:t>
      </w:r>
      <w:r w:rsidR="0081560D">
        <w:rPr>
          <w:rFonts w:ascii="Arial" w:hAnsi="Arial" w:cs="Arial"/>
          <w:sz w:val="22"/>
          <w:szCs w:val="22"/>
        </w:rPr>
        <w:t xml:space="preserve"> Undergraduate students may be allowed to conduct the consent process in accordance with the policy entitled “</w:t>
      </w:r>
      <w:r w:rsidR="0081560D" w:rsidRPr="0081560D">
        <w:rPr>
          <w:rFonts w:ascii="Arial" w:hAnsi="Arial" w:cs="Arial"/>
          <w:sz w:val="22"/>
          <w:szCs w:val="22"/>
        </w:rPr>
        <w:t>D</w:t>
      </w:r>
      <w:r w:rsidR="0081560D">
        <w:rPr>
          <w:rFonts w:ascii="Arial" w:hAnsi="Arial" w:cs="Arial"/>
          <w:sz w:val="22"/>
          <w:szCs w:val="22"/>
        </w:rPr>
        <w:t>uke Undergraduates Engaged in the Consent Process on DUHS IRB Protocols</w:t>
      </w:r>
      <w:r w:rsidR="002B62CD">
        <w:rPr>
          <w:rFonts w:ascii="Arial" w:hAnsi="Arial" w:cs="Arial"/>
          <w:sz w:val="22"/>
          <w:szCs w:val="22"/>
        </w:rPr>
        <w:t>”</w:t>
      </w:r>
      <w:r w:rsidR="0081560D">
        <w:rPr>
          <w:rFonts w:ascii="Arial" w:hAnsi="Arial" w:cs="Arial"/>
          <w:sz w:val="22"/>
          <w:szCs w:val="22"/>
        </w:rPr>
        <w:t xml:space="preserve">. </w:t>
      </w:r>
      <w:r w:rsidR="009C2A63" w:rsidRPr="002F57FD">
        <w:rPr>
          <w:rFonts w:ascii="Arial" w:hAnsi="Arial" w:cs="Arial"/>
          <w:sz w:val="22"/>
          <w:szCs w:val="22"/>
        </w:rPr>
        <w:tab/>
      </w:r>
    </w:p>
    <w:p w:rsidR="007E5332" w:rsidRPr="002F57FD" w:rsidRDefault="007E5332" w:rsidP="00DE1CF4">
      <w:pPr>
        <w:ind w:left="-540"/>
        <w:rPr>
          <w:rFonts w:ascii="Arial" w:hAnsi="Arial" w:cs="Arial"/>
          <w:sz w:val="22"/>
          <w:szCs w:val="22"/>
        </w:rPr>
      </w:pPr>
    </w:p>
    <w:p w:rsidR="007E5332" w:rsidRDefault="007E5332" w:rsidP="00DE1CF4">
      <w:pPr>
        <w:ind w:left="-540"/>
        <w:rPr>
          <w:rFonts w:ascii="Arial" w:hAnsi="Arial" w:cs="Arial"/>
          <w:sz w:val="22"/>
          <w:szCs w:val="22"/>
        </w:rPr>
      </w:pPr>
      <w:r w:rsidRPr="002F57FD">
        <w:rPr>
          <w:rFonts w:ascii="Arial" w:hAnsi="Arial" w:cs="Arial"/>
          <w:sz w:val="22"/>
          <w:szCs w:val="22"/>
        </w:rPr>
        <w:lastRenderedPageBreak/>
        <w:t>The PI is ultimately responsible for selecting appropriately trained and qualified individuals to conduct the consent process.</w:t>
      </w:r>
    </w:p>
    <w:p w:rsidR="002B62CD" w:rsidRDefault="002B62CD" w:rsidP="00DE1CF4">
      <w:pPr>
        <w:ind w:left="-540"/>
        <w:rPr>
          <w:rFonts w:ascii="Arial" w:hAnsi="Arial" w:cs="Arial"/>
          <w:sz w:val="22"/>
          <w:szCs w:val="22"/>
        </w:rPr>
      </w:pPr>
    </w:p>
    <w:p w:rsidR="002B62CD" w:rsidRDefault="002B62CD" w:rsidP="00DE1CF4">
      <w:pPr>
        <w:ind w:left="-540"/>
        <w:rPr>
          <w:rFonts w:ascii="Arial" w:hAnsi="Arial" w:cs="Arial"/>
          <w:sz w:val="22"/>
          <w:szCs w:val="22"/>
        </w:rPr>
      </w:pPr>
    </w:p>
    <w:p w:rsidR="002B62CD" w:rsidRDefault="002B62CD" w:rsidP="00DE1CF4">
      <w:pPr>
        <w:ind w:left="-540"/>
        <w:rPr>
          <w:rFonts w:ascii="Arial" w:hAnsi="Arial" w:cs="Arial"/>
          <w:sz w:val="22"/>
          <w:szCs w:val="22"/>
        </w:rPr>
      </w:pPr>
    </w:p>
    <w:p w:rsidR="002B62CD" w:rsidRDefault="002B62CD" w:rsidP="00DE1CF4">
      <w:pPr>
        <w:ind w:left="-540"/>
        <w:rPr>
          <w:rFonts w:ascii="Arial" w:hAnsi="Arial" w:cs="Arial"/>
          <w:sz w:val="22"/>
          <w:szCs w:val="22"/>
        </w:rPr>
      </w:pPr>
    </w:p>
    <w:p w:rsidR="002B62CD" w:rsidRDefault="002B62CD" w:rsidP="00DE1CF4">
      <w:pPr>
        <w:ind w:left="-540"/>
        <w:rPr>
          <w:rFonts w:ascii="Arial" w:hAnsi="Arial" w:cs="Arial"/>
          <w:sz w:val="22"/>
          <w:szCs w:val="22"/>
        </w:rPr>
      </w:pPr>
    </w:p>
    <w:p w:rsidR="002B62CD" w:rsidRPr="002F57FD" w:rsidRDefault="002B62CD" w:rsidP="00DE1CF4">
      <w:pPr>
        <w:ind w:left="-540"/>
        <w:rPr>
          <w:rFonts w:ascii="Arial" w:hAnsi="Arial" w:cs="Arial"/>
          <w:sz w:val="22"/>
          <w:szCs w:val="22"/>
        </w:rPr>
      </w:pPr>
      <w:r>
        <w:rPr>
          <w:rFonts w:ascii="Arial" w:hAnsi="Arial" w:cs="Arial"/>
          <w:sz w:val="22"/>
          <w:szCs w:val="22"/>
        </w:rPr>
        <w:t>Previous Version Date(s):  12/20/2013</w:t>
      </w:r>
    </w:p>
    <w:p w:rsidR="00010392" w:rsidRPr="002F57FD" w:rsidRDefault="00010392" w:rsidP="002F57FD">
      <w:pPr>
        <w:autoSpaceDE w:val="0"/>
        <w:autoSpaceDN w:val="0"/>
        <w:adjustRightInd w:val="0"/>
        <w:spacing w:line="240" w:lineRule="atLeast"/>
        <w:rPr>
          <w:rFonts w:ascii="Arial" w:hAnsi="Arial" w:cs="Arial"/>
          <w:sz w:val="22"/>
          <w:szCs w:val="22"/>
        </w:rPr>
      </w:pPr>
    </w:p>
    <w:sectPr w:rsidR="00010392" w:rsidRPr="002F57FD" w:rsidSect="005B4EC8">
      <w:footerReference w:type="even" r:id="rId9"/>
      <w:footerReference w:type="default" r:id="rId10"/>
      <w:pgSz w:w="12240" w:h="15840"/>
      <w:pgMar w:top="1440" w:right="1800" w:bottom="1440" w:left="1800" w:header="720" w:footer="8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EC3" w:rsidRDefault="00017EC3">
      <w:r>
        <w:separator/>
      </w:r>
    </w:p>
  </w:endnote>
  <w:endnote w:type="continuationSeparator" w:id="0">
    <w:p w:rsidR="00017EC3" w:rsidRDefault="0001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E1" w:rsidRDefault="003E14E1" w:rsidP="009F5B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14E1" w:rsidRDefault="003E14E1" w:rsidP="003E14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E1" w:rsidRDefault="003E14E1" w:rsidP="009F5B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591F">
      <w:rPr>
        <w:rStyle w:val="PageNumber"/>
        <w:noProof/>
      </w:rPr>
      <w:t>1</w:t>
    </w:r>
    <w:r>
      <w:rPr>
        <w:rStyle w:val="PageNumber"/>
      </w:rPr>
      <w:fldChar w:fldCharType="end"/>
    </w:r>
  </w:p>
  <w:p w:rsidR="001813FA" w:rsidRPr="00B96091" w:rsidRDefault="001813FA" w:rsidP="003E14E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EC3" w:rsidRDefault="00017EC3">
      <w:r>
        <w:separator/>
      </w:r>
    </w:p>
  </w:footnote>
  <w:footnote w:type="continuationSeparator" w:id="0">
    <w:p w:rsidR="00017EC3" w:rsidRDefault="00017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2DC5"/>
    <w:multiLevelType w:val="multilevel"/>
    <w:tmpl w:val="3C8058C8"/>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2E62C49"/>
    <w:multiLevelType w:val="multilevel"/>
    <w:tmpl w:val="4808DDA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82F0227"/>
    <w:multiLevelType w:val="hybridMultilevel"/>
    <w:tmpl w:val="7BEEDF78"/>
    <w:lvl w:ilvl="0" w:tplc="A3F445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D37289"/>
    <w:multiLevelType w:val="multilevel"/>
    <w:tmpl w:val="60BA3698"/>
    <w:lvl w:ilvl="0">
      <w:start w:val="3"/>
      <w:numFmt w:val="decimal"/>
      <w:lvlText w:val="%1"/>
      <w:lvlJc w:val="left"/>
      <w:pPr>
        <w:tabs>
          <w:tab w:val="num" w:pos="360"/>
        </w:tabs>
        <w:ind w:left="360" w:hanging="360"/>
      </w:pPr>
      <w:rPr>
        <w:rFonts w:ascii="Times New Roman" w:hAnsi="Times New Roman" w:cs="Times New Roman" w:hint="default"/>
        <w:color w:val="auto"/>
      </w:rPr>
    </w:lvl>
    <w:lvl w:ilvl="1">
      <w:start w:val="4"/>
      <w:numFmt w:val="decimal"/>
      <w:lvlText w:val="%1.%2"/>
      <w:lvlJc w:val="left"/>
      <w:pPr>
        <w:tabs>
          <w:tab w:val="num" w:pos="360"/>
        </w:tabs>
        <w:ind w:left="360" w:hanging="360"/>
      </w:pPr>
      <w:rPr>
        <w:rFonts w:ascii="Times New Roman" w:hAnsi="Times New Roman" w:cs="Times New Roman" w:hint="default"/>
        <w:color w:val="auto"/>
      </w:rPr>
    </w:lvl>
    <w:lvl w:ilvl="2">
      <w:start w:val="1"/>
      <w:numFmt w:val="decimal"/>
      <w:lvlText w:val="%1.%2.%3"/>
      <w:lvlJc w:val="left"/>
      <w:pPr>
        <w:tabs>
          <w:tab w:val="num" w:pos="720"/>
        </w:tabs>
        <w:ind w:left="720" w:hanging="720"/>
      </w:pPr>
      <w:rPr>
        <w:rFonts w:ascii="Times New Roman" w:hAnsi="Times New Roman" w:cs="Times New Roman" w:hint="default"/>
        <w:color w:val="auto"/>
      </w:rPr>
    </w:lvl>
    <w:lvl w:ilvl="3">
      <w:start w:val="1"/>
      <w:numFmt w:val="decimal"/>
      <w:lvlText w:val="%1.%2.%3.%4"/>
      <w:lvlJc w:val="left"/>
      <w:pPr>
        <w:tabs>
          <w:tab w:val="num" w:pos="1080"/>
        </w:tabs>
        <w:ind w:left="1080" w:hanging="1080"/>
      </w:pPr>
      <w:rPr>
        <w:rFonts w:ascii="Times New Roman" w:hAnsi="Times New Roman" w:cs="Times New Roman" w:hint="default"/>
        <w:color w:val="auto"/>
      </w:rPr>
    </w:lvl>
    <w:lvl w:ilvl="4">
      <w:start w:val="1"/>
      <w:numFmt w:val="decimal"/>
      <w:lvlText w:val="%1.%2.%3.%4.%5"/>
      <w:lvlJc w:val="left"/>
      <w:pPr>
        <w:tabs>
          <w:tab w:val="num" w:pos="1080"/>
        </w:tabs>
        <w:ind w:left="1080" w:hanging="1080"/>
      </w:pPr>
      <w:rPr>
        <w:rFonts w:ascii="Times New Roman" w:hAnsi="Times New Roman" w:cs="Times New Roman" w:hint="default"/>
        <w:color w:val="auto"/>
      </w:rPr>
    </w:lvl>
    <w:lvl w:ilvl="5">
      <w:start w:val="1"/>
      <w:numFmt w:val="decimal"/>
      <w:lvlText w:val="%1.%2.%3.%4.%5.%6"/>
      <w:lvlJc w:val="left"/>
      <w:pPr>
        <w:tabs>
          <w:tab w:val="num" w:pos="1440"/>
        </w:tabs>
        <w:ind w:left="1440" w:hanging="1440"/>
      </w:pPr>
      <w:rPr>
        <w:rFonts w:ascii="Times New Roman" w:hAnsi="Times New Roman" w:cs="Times New Roman" w:hint="default"/>
        <w:color w:val="auto"/>
      </w:rPr>
    </w:lvl>
    <w:lvl w:ilvl="6">
      <w:start w:val="1"/>
      <w:numFmt w:val="decimal"/>
      <w:lvlText w:val="%1.%2.%3.%4.%5.%6.%7"/>
      <w:lvlJc w:val="left"/>
      <w:pPr>
        <w:tabs>
          <w:tab w:val="num" w:pos="1440"/>
        </w:tabs>
        <w:ind w:left="1440" w:hanging="1440"/>
      </w:pPr>
      <w:rPr>
        <w:rFonts w:ascii="Times New Roman" w:hAnsi="Times New Roman" w:cs="Times New Roman" w:hint="default"/>
        <w:color w:val="auto"/>
      </w:rPr>
    </w:lvl>
    <w:lvl w:ilvl="7">
      <w:start w:val="1"/>
      <w:numFmt w:val="decimal"/>
      <w:lvlText w:val="%1.%2.%3.%4.%5.%6.%7.%8"/>
      <w:lvlJc w:val="left"/>
      <w:pPr>
        <w:tabs>
          <w:tab w:val="num" w:pos="1800"/>
        </w:tabs>
        <w:ind w:left="1800" w:hanging="1800"/>
      </w:pPr>
      <w:rPr>
        <w:rFonts w:ascii="Times New Roman" w:hAnsi="Times New Roman" w:cs="Times New Roman" w:hint="default"/>
        <w:color w:val="auto"/>
      </w:rPr>
    </w:lvl>
    <w:lvl w:ilvl="8">
      <w:start w:val="1"/>
      <w:numFmt w:val="decimal"/>
      <w:lvlText w:val="%1.%2.%3.%4.%5.%6.%7.%8.%9"/>
      <w:lvlJc w:val="left"/>
      <w:pPr>
        <w:tabs>
          <w:tab w:val="num" w:pos="1800"/>
        </w:tabs>
        <w:ind w:left="1800" w:hanging="1800"/>
      </w:pPr>
      <w:rPr>
        <w:rFonts w:ascii="Times New Roman" w:hAnsi="Times New Roman" w:cs="Times New Roman" w:hint="default"/>
        <w:color w:val="auto"/>
      </w:rPr>
    </w:lvl>
  </w:abstractNum>
  <w:abstractNum w:abstractNumId="4" w15:restartNumberingAfterBreak="0">
    <w:nsid w:val="2E63596D"/>
    <w:multiLevelType w:val="hybridMultilevel"/>
    <w:tmpl w:val="4818217A"/>
    <w:lvl w:ilvl="0" w:tplc="15CE08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E39C78"/>
    <w:multiLevelType w:val="hybridMultilevel"/>
    <w:tmpl w:val="E7699BE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31"/>
    <w:rsid w:val="00010392"/>
    <w:rsid w:val="00010E59"/>
    <w:rsid w:val="00017EC3"/>
    <w:rsid w:val="00036F64"/>
    <w:rsid w:val="00037281"/>
    <w:rsid w:val="00041519"/>
    <w:rsid w:val="00041ACB"/>
    <w:rsid w:val="00083805"/>
    <w:rsid w:val="00085C21"/>
    <w:rsid w:val="000C4807"/>
    <w:rsid w:val="000D36C1"/>
    <w:rsid w:val="000E05D1"/>
    <w:rsid w:val="000F4675"/>
    <w:rsid w:val="000F67AD"/>
    <w:rsid w:val="00115804"/>
    <w:rsid w:val="00143BD3"/>
    <w:rsid w:val="00150389"/>
    <w:rsid w:val="001813FA"/>
    <w:rsid w:val="001E6DC7"/>
    <w:rsid w:val="001F1C73"/>
    <w:rsid w:val="001F7CAF"/>
    <w:rsid w:val="00204301"/>
    <w:rsid w:val="002153D2"/>
    <w:rsid w:val="00251206"/>
    <w:rsid w:val="002B62CD"/>
    <w:rsid w:val="002B70C5"/>
    <w:rsid w:val="002D29BB"/>
    <w:rsid w:val="002E48D1"/>
    <w:rsid w:val="002F1B56"/>
    <w:rsid w:val="002F57FD"/>
    <w:rsid w:val="00327E49"/>
    <w:rsid w:val="00332CB3"/>
    <w:rsid w:val="00363CCD"/>
    <w:rsid w:val="00363F33"/>
    <w:rsid w:val="003737B3"/>
    <w:rsid w:val="0038003D"/>
    <w:rsid w:val="00382632"/>
    <w:rsid w:val="003944B0"/>
    <w:rsid w:val="00396CA7"/>
    <w:rsid w:val="003B1DBF"/>
    <w:rsid w:val="003C1E70"/>
    <w:rsid w:val="003E14E1"/>
    <w:rsid w:val="00406106"/>
    <w:rsid w:val="00416302"/>
    <w:rsid w:val="004378CE"/>
    <w:rsid w:val="00447B1A"/>
    <w:rsid w:val="0047118D"/>
    <w:rsid w:val="00472808"/>
    <w:rsid w:val="0047540E"/>
    <w:rsid w:val="004B4D0D"/>
    <w:rsid w:val="004D218A"/>
    <w:rsid w:val="004D65B8"/>
    <w:rsid w:val="004D695C"/>
    <w:rsid w:val="004E70FC"/>
    <w:rsid w:val="00514A4B"/>
    <w:rsid w:val="0052034E"/>
    <w:rsid w:val="005260E5"/>
    <w:rsid w:val="00545DF1"/>
    <w:rsid w:val="00550D4E"/>
    <w:rsid w:val="00553B31"/>
    <w:rsid w:val="00553D08"/>
    <w:rsid w:val="00555FFC"/>
    <w:rsid w:val="00567288"/>
    <w:rsid w:val="005B4EC8"/>
    <w:rsid w:val="005C591F"/>
    <w:rsid w:val="005C5CD0"/>
    <w:rsid w:val="00614EC9"/>
    <w:rsid w:val="00637937"/>
    <w:rsid w:val="00641756"/>
    <w:rsid w:val="006810AF"/>
    <w:rsid w:val="006B49DB"/>
    <w:rsid w:val="006C5806"/>
    <w:rsid w:val="006D5342"/>
    <w:rsid w:val="006F2B04"/>
    <w:rsid w:val="00702870"/>
    <w:rsid w:val="00715B14"/>
    <w:rsid w:val="007165D8"/>
    <w:rsid w:val="00721DAF"/>
    <w:rsid w:val="00723F54"/>
    <w:rsid w:val="007304AE"/>
    <w:rsid w:val="0074175C"/>
    <w:rsid w:val="00744E65"/>
    <w:rsid w:val="00745E49"/>
    <w:rsid w:val="00764BF2"/>
    <w:rsid w:val="007673E1"/>
    <w:rsid w:val="007A4F8D"/>
    <w:rsid w:val="007D1DE0"/>
    <w:rsid w:val="007E057E"/>
    <w:rsid w:val="007E5332"/>
    <w:rsid w:val="00802856"/>
    <w:rsid w:val="00814E1F"/>
    <w:rsid w:val="0081560D"/>
    <w:rsid w:val="00840BEB"/>
    <w:rsid w:val="00877499"/>
    <w:rsid w:val="008D3BCB"/>
    <w:rsid w:val="008D650B"/>
    <w:rsid w:val="00953D10"/>
    <w:rsid w:val="00981C3A"/>
    <w:rsid w:val="009871E2"/>
    <w:rsid w:val="00994951"/>
    <w:rsid w:val="00994978"/>
    <w:rsid w:val="009A5523"/>
    <w:rsid w:val="009B2D86"/>
    <w:rsid w:val="009C2A63"/>
    <w:rsid w:val="009D1231"/>
    <w:rsid w:val="009F5B76"/>
    <w:rsid w:val="00A36230"/>
    <w:rsid w:val="00A7572E"/>
    <w:rsid w:val="00AC7CE2"/>
    <w:rsid w:val="00AE4611"/>
    <w:rsid w:val="00AF647A"/>
    <w:rsid w:val="00B006E7"/>
    <w:rsid w:val="00B07271"/>
    <w:rsid w:val="00B33417"/>
    <w:rsid w:val="00B96091"/>
    <w:rsid w:val="00BA40C7"/>
    <w:rsid w:val="00C36A15"/>
    <w:rsid w:val="00CA0C90"/>
    <w:rsid w:val="00CA25EE"/>
    <w:rsid w:val="00CB5D6F"/>
    <w:rsid w:val="00CE25E3"/>
    <w:rsid w:val="00CE7506"/>
    <w:rsid w:val="00CF2ACE"/>
    <w:rsid w:val="00D1203E"/>
    <w:rsid w:val="00D47FAA"/>
    <w:rsid w:val="00D66F4D"/>
    <w:rsid w:val="00D6777C"/>
    <w:rsid w:val="00D70EE0"/>
    <w:rsid w:val="00D86D8A"/>
    <w:rsid w:val="00DA3C96"/>
    <w:rsid w:val="00DA4461"/>
    <w:rsid w:val="00DE1CF4"/>
    <w:rsid w:val="00E452FF"/>
    <w:rsid w:val="00E45CB5"/>
    <w:rsid w:val="00E5713E"/>
    <w:rsid w:val="00E60B53"/>
    <w:rsid w:val="00E86B72"/>
    <w:rsid w:val="00EA1887"/>
    <w:rsid w:val="00EF63A9"/>
    <w:rsid w:val="00F01E1F"/>
    <w:rsid w:val="00F9627C"/>
    <w:rsid w:val="00FA1FD2"/>
    <w:rsid w:val="00FA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D566A00-2E01-40D1-AA8D-3215BF7F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1813FA"/>
    <w:pPr>
      <w:keepNext/>
      <w:outlineLvl w:val="0"/>
    </w:pPr>
    <w:rPr>
      <w:rFonts w:ascii="Arial" w:hAnsi="Arial"/>
      <w:sz w:val="44"/>
      <w:szCs w:val="20"/>
    </w:rPr>
  </w:style>
  <w:style w:type="paragraph" w:styleId="Heading2">
    <w:name w:val="heading 2"/>
    <w:basedOn w:val="Normal"/>
    <w:next w:val="Normal"/>
    <w:link w:val="Heading2Char"/>
    <w:qFormat/>
    <w:rsid w:val="006D534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13FA"/>
    <w:pPr>
      <w:tabs>
        <w:tab w:val="center" w:pos="4320"/>
        <w:tab w:val="right" w:pos="8640"/>
      </w:tabs>
    </w:pPr>
  </w:style>
  <w:style w:type="paragraph" w:styleId="Footer">
    <w:name w:val="footer"/>
    <w:basedOn w:val="Normal"/>
    <w:rsid w:val="001813FA"/>
    <w:pPr>
      <w:tabs>
        <w:tab w:val="center" w:pos="4320"/>
        <w:tab w:val="right" w:pos="8640"/>
      </w:tabs>
    </w:pPr>
  </w:style>
  <w:style w:type="character" w:styleId="PageNumber">
    <w:name w:val="page number"/>
    <w:basedOn w:val="DefaultParagraphFont"/>
    <w:rsid w:val="001813FA"/>
  </w:style>
  <w:style w:type="paragraph" w:customStyle="1" w:styleId="Default">
    <w:name w:val="Default"/>
    <w:rsid w:val="00E60B53"/>
    <w:pPr>
      <w:autoSpaceDE w:val="0"/>
      <w:autoSpaceDN w:val="0"/>
      <w:adjustRightInd w:val="0"/>
    </w:pPr>
    <w:rPr>
      <w:rFonts w:ascii="Arial" w:hAnsi="Arial" w:cs="Arial"/>
      <w:color w:val="000000"/>
      <w:sz w:val="24"/>
      <w:szCs w:val="24"/>
    </w:rPr>
  </w:style>
  <w:style w:type="character" w:styleId="Hyperlink">
    <w:name w:val="Hyperlink"/>
    <w:rsid w:val="00CE25E3"/>
    <w:rPr>
      <w:color w:val="0000FF"/>
      <w:u w:val="single"/>
    </w:rPr>
  </w:style>
  <w:style w:type="character" w:styleId="FollowedHyperlink">
    <w:name w:val="FollowedHyperlink"/>
    <w:rsid w:val="00953D10"/>
    <w:rPr>
      <w:color w:val="800080"/>
      <w:u w:val="single"/>
    </w:rPr>
  </w:style>
  <w:style w:type="paragraph" w:styleId="BalloonText">
    <w:name w:val="Balloon Text"/>
    <w:basedOn w:val="Normal"/>
    <w:semiHidden/>
    <w:rsid w:val="00C36A15"/>
    <w:rPr>
      <w:rFonts w:ascii="Tahoma" w:hAnsi="Tahoma" w:cs="Tahoma"/>
      <w:sz w:val="16"/>
      <w:szCs w:val="16"/>
    </w:rPr>
  </w:style>
  <w:style w:type="character" w:customStyle="1" w:styleId="Heading1Char">
    <w:name w:val="Heading 1 Char"/>
    <w:link w:val="Heading1"/>
    <w:rsid w:val="006D5342"/>
    <w:rPr>
      <w:rFonts w:ascii="Arial" w:hAnsi="Arial"/>
      <w:sz w:val="44"/>
      <w:lang w:val="en-US" w:eastAsia="en-US" w:bidi="ar-SA"/>
    </w:rPr>
  </w:style>
  <w:style w:type="character" w:customStyle="1" w:styleId="Heading2Char">
    <w:name w:val="Heading 2 Char"/>
    <w:link w:val="Heading2"/>
    <w:rsid w:val="006D5342"/>
    <w:rPr>
      <w:rFonts w:ascii="Arial" w:hAnsi="Arial" w:cs="Arial"/>
      <w:b/>
      <w:bCs/>
      <w:i/>
      <w:iCs/>
      <w:sz w:val="28"/>
      <w:szCs w:val="28"/>
      <w:lang w:val="en-US" w:eastAsia="en-US" w:bidi="ar-SA"/>
    </w:rPr>
  </w:style>
  <w:style w:type="character" w:styleId="CommentReference">
    <w:name w:val="annotation reference"/>
    <w:basedOn w:val="DefaultParagraphFont"/>
    <w:rsid w:val="004D65B8"/>
    <w:rPr>
      <w:sz w:val="16"/>
      <w:szCs w:val="16"/>
    </w:rPr>
  </w:style>
  <w:style w:type="paragraph" w:styleId="CommentText">
    <w:name w:val="annotation text"/>
    <w:basedOn w:val="Normal"/>
    <w:link w:val="CommentTextChar"/>
    <w:rsid w:val="004D65B8"/>
    <w:rPr>
      <w:sz w:val="20"/>
      <w:szCs w:val="20"/>
    </w:rPr>
  </w:style>
  <w:style w:type="character" w:customStyle="1" w:styleId="CommentTextChar">
    <w:name w:val="Comment Text Char"/>
    <w:basedOn w:val="DefaultParagraphFont"/>
    <w:link w:val="CommentText"/>
    <w:rsid w:val="004D65B8"/>
  </w:style>
  <w:style w:type="paragraph" w:styleId="CommentSubject">
    <w:name w:val="annotation subject"/>
    <w:basedOn w:val="CommentText"/>
    <w:next w:val="CommentText"/>
    <w:link w:val="CommentSubjectChar"/>
    <w:rsid w:val="004D65B8"/>
    <w:rPr>
      <w:b/>
      <w:bCs/>
    </w:rPr>
  </w:style>
  <w:style w:type="character" w:customStyle="1" w:styleId="CommentSubjectChar">
    <w:name w:val="Comment Subject Char"/>
    <w:basedOn w:val="CommentTextChar"/>
    <w:link w:val="CommentSubject"/>
    <w:rsid w:val="004D6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STANDARD OPERATING PROCEDURE</vt:lpstr>
    </vt:vector>
  </TitlesOfParts>
  <Company>Duke University</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dc:title>
  <dc:creator>School of Medicine</dc:creator>
  <cp:lastModifiedBy>Anna Thirakul</cp:lastModifiedBy>
  <cp:revision>2</cp:revision>
  <cp:lastPrinted>2008-09-26T16:12:00Z</cp:lastPrinted>
  <dcterms:created xsi:type="dcterms:W3CDTF">2017-10-30T20:53:00Z</dcterms:created>
  <dcterms:modified xsi:type="dcterms:W3CDTF">2017-10-30T20:53:00Z</dcterms:modified>
</cp:coreProperties>
</file>