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Risk weights by category of on-balance-sheet asset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Cash shall have a 0% risk weight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Claims on central governments and central banks denominated in national currency and funded in that currency shall have a 0% risk weight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Other claims on OECD central governments and central banks shall have a 0% risk weight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Claims collateralised by cash of OECD central-government securities or guaranteed by OECD central governments shall have a 0% risk weight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Claims on domestic public-sector entities, excluding central government, and loans guaranteed by such entities shall have a 0%, 10%, 20%, or 50% risk weight (at national discretion)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Claims on multilateral development banks (IBRD, IADB, AsDB, AfDB, EIB) and claims guaranteed by, or collateralised by securities issued by such banks shall have a 20% risk weight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Claims on banks incorporated in the OECD and loans guaranteed by OECD incorporated banks shall have a 20% risk weight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Claims on banks incorporated in countries outside the OECD with a residual maturity of up to one year and loans with a residual maturity of up to one year guaranteed by banks incorporated in countries outside the OECD shall have a 20% risk weight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Claims on non-domestic OECD public-sector entities, excluding central government, and loans guaranteed by such entities shall have a 20% risk weight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Cash items in process of collection shall have a 20% risk weight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Loans fully secured by mortgage on residential property that is or will be occupied by the borrower or that is rented shall have a 50% risk weight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Claims on the private sector shall have a 100% risk weight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Claims on banks incorporated outside the OECD with a residual maturity of over one year shall have a 100% risk weight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Claims on central governments outside the OECD (unless denominated in national currency - and funded in that currency - see above) shall have a 100% risk weight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Claims on commercial companies owned by the public sector shall have a 100% risk weight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Premises, plant and equipment and other fixed assets shall have a 100% risk weight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Real estate and other investments (including non-consolidated investment participations in other companies) shall have a 100% risk weight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Capital instruments issued by other banks (unless deducted from capital) shall have a 100% risk weight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ZA" w:eastAsia="zh-CN" w:bidi="hi-IN"/>
        </w:rPr>
        <w:t>A</w:t>
      </w:r>
      <w:r>
        <w:rPr/>
        <w:t>ll other assets shall have a 100% risk weight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Z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ZA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1321</TotalTime>
  <Application>LibreOffice/6.4.7.2$Linux_X86_64 LibreOffice_project/40$Build-2</Application>
  <Pages>2</Pages>
  <Words>381</Words>
  <Characters>1949</Characters>
  <CharactersWithSpaces>2311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2021-08-31T10:30:00Z</dcterms:created>
  <dc:creator/>
  <dc:description/>
  <dc:language>en-ZA</dc:language>
  <cp:lastModifiedBy/>
  <dcterms:modified xsi:type="dcterms:W3CDTF">2021-09-01T08:47:57Z</dcterms:modified>
  <cp:revision>5</cp:revision>
  <dc:subject/>
  <dc:title/>
</cp:coreProperties>
</file>