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American Express Company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The Economic Growth, Regulatory Relief, and Consumer Protection Act (EGRRCPA).3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3">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4">
      <w:pPr>
        <w:rPr/>
      </w:pPr>
      <w:r w:rsidDel="00000000" w:rsidR="00000000" w:rsidRPr="00000000">
        <w:rPr>
          <w:rtl w:val="0"/>
        </w:rPr>
        <w:t xml:space="preserve">As communicated in the letter sent to the Covered Company on July 2, 2018, the Agencies have jointly determined that the Covered Company’s next resolution plan submission date will be extended to December 31, 2019. 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5">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6">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7">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 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Endnote:</w:t>
      </w:r>
    </w:p>
    <w:p w:rsidR="00000000" w:rsidDel="00000000" w:rsidP="00000000" w:rsidRDefault="00000000" w:rsidRPr="00000000" w14:paraId="00000009">
      <w:pPr>
        <w:rPr/>
      </w:pPr>
      <w:r w:rsidDel="00000000" w:rsidR="00000000" w:rsidRPr="00000000">
        <w:rPr>
          <w:rtl w:val="0"/>
        </w:rPr>
        <w:t xml:space="preserve">1 12 U.S.C. § 5365(d).</w:t>
      </w:r>
    </w:p>
    <w:p w:rsidR="00000000" w:rsidDel="00000000" w:rsidP="00000000" w:rsidRDefault="00000000" w:rsidRPr="00000000" w14:paraId="0000000A">
      <w:pPr>
        <w:rPr/>
      </w:pPr>
      <w:r w:rsidDel="00000000" w:rsidR="00000000" w:rsidRPr="00000000">
        <w:rPr>
          <w:rtl w:val="0"/>
        </w:rPr>
        <w:t xml:space="preserve">2 12 CFR Part 243 (Board) and 12 CFR Part 381 (FDIC).</w:t>
      </w:r>
    </w:p>
    <w:p w:rsidR="00000000" w:rsidDel="00000000" w:rsidP="00000000" w:rsidRDefault="00000000" w:rsidRPr="00000000" w14:paraId="0000000B">
      <w:pPr>
        <w:rPr/>
      </w:pPr>
      <w:r w:rsidDel="00000000" w:rsidR="00000000" w:rsidRPr="00000000">
        <w:rPr>
          <w:rtl w:val="0"/>
        </w:rPr>
        <w:t xml:space="preserve">3 Pub. L . No. 115-174, 132 Stat. 1296 (2018)</w:t>
      </w:r>
    </w:p>
    <w:p w:rsidR="00000000" w:rsidDel="00000000" w:rsidP="00000000" w:rsidRDefault="00000000" w:rsidRPr="00000000" w14:paraId="0000000C">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0D">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