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Huntington Bancshares Incorporated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