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Lloyds Banking Group plc (Covered Company) submitted in December 2018, as required by section 165(d) of the Dodd-Frank Wall Street Reform and Consumer Protection Act.1 and the jointly issued Resolution Plan Rule.2 The Agencies did not identify shortcomings or deficiencies in the Covered Company’s 2018 Plan as a result of 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1,2021, or such other date that may be specified when the Agencies adopt the Final Rule. The Covered Company should refer to the Final Rule for the content requirements of its subsequent resolution plan submission.</w:t>
      </w:r>
    </w:p>
    <w:p w:rsidR="00000000" w:rsidDel="00000000" w:rsidP="00000000" w:rsidRDefault="00000000" w:rsidRPr="00000000" w14:paraId="00000004">
      <w:pPr>
        <w:rPr/>
      </w:pPr>
      <w:r w:rsidDel="00000000" w:rsidR="00000000" w:rsidRPr="00000000">
        <w:rPr>
          <w:rtl w:val="0"/>
        </w:rPr>
        <w:t xml:space="preserve">The Covered Company must ensure that its next resolution plan submission is submitted timely, on or before the next resolution plan submission date as set forth above.</w:t>
      </w:r>
    </w:p>
    <w:p w:rsidR="00000000" w:rsidDel="00000000" w:rsidP="00000000" w:rsidRDefault="00000000" w:rsidRPr="00000000" w14:paraId="00000005">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1 12 U.S.C. § 5365(d)</w:t>
      </w:r>
    </w:p>
    <w:p w:rsidR="00000000" w:rsidDel="00000000" w:rsidP="00000000" w:rsidRDefault="00000000" w:rsidRPr="00000000" w14:paraId="00000007">
      <w:pPr>
        <w:rPr/>
      </w:pPr>
      <w:r w:rsidDel="00000000" w:rsidR="00000000" w:rsidRPr="00000000">
        <w:rPr>
          <w:rtl w:val="0"/>
        </w:rPr>
        <w:t xml:space="preserve">2 12 CFR Part 243 (Board) and 12 CFR Part 381 (FDIC).</w:t>
      </w:r>
    </w:p>
    <w:p w:rsidR="00000000" w:rsidDel="00000000" w:rsidP="00000000" w:rsidRDefault="00000000" w:rsidRPr="00000000" w14:paraId="00000008">
      <w:pPr>
        <w:rPr/>
      </w:pPr>
      <w:r w:rsidDel="00000000" w:rsidR="00000000" w:rsidRPr="00000000">
        <w:rPr>
          <w:rtl w:val="0"/>
        </w:rPr>
        <w:t xml:space="preserve">3 Resolution Plans Required. 84 FR 21600 (May 14, 2019), https://www.federalregister.gov/documents/2019/05/14/2019-08478/resolution-plans-required</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