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Morgan Stanley (MS)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MS on December 19, 2017 (the 2017 Letter) regarding MS’s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MS during the development of its 2019 Plan to answer questions, including those regarding the Domestic Guidance, and to understand the changes MS has made since the 2017 Plan. </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MS’s prior resolution plan submissions. The Agencies concluded that the 2019 Plan satisfactorily addressed the shortcoming that the Agencies identified in the 2017 Plan, as further described in Section II below. Nonetheless, the Agencies have identified one shortcoming in the 2019 Plan and noted areas in which MS could improve its resolution capabilities, as discussed in sections III and IV below. MS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MS’s development of a resolution plan that satisfies the requirements of section 165(d) of the Dodd-Frank Act.4 MS’s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 </w:t>
      </w:r>
    </w:p>
    <w:p w:rsidR="00000000" w:rsidDel="00000000" w:rsidP="00000000" w:rsidRDefault="00000000" w:rsidRPr="00000000" w14:paraId="00000006">
      <w:pPr>
        <w:rPr/>
      </w:pPr>
      <w:r w:rsidDel="00000000" w:rsidR="00000000" w:rsidRPr="00000000">
        <w:rPr>
          <w:rtl w:val="0"/>
        </w:rPr>
        <w:t xml:space="preserve">MS has taken important steps to enhance the firm’s resolvability and facilitate its orderly resolution in bankruptcy, the most recent of which are summarized in more detail in section II below. Given the significant progress in MS’s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MS’s resolution preparedness and areas on which MS should focus its ongoing efforts. To that end, the Agencies’ 2019 Plan review included tests of certain capabilities relevant to the execution of MS’s SPOE strategy, including governance, financial reporting, and management information systems capabilities related to implementation of the Morgan Stanley Amended and Restated Support and Subordination Agreement (SSA). </w:t>
      </w:r>
    </w:p>
    <w:p w:rsidR="00000000" w:rsidDel="00000000" w:rsidP="00000000" w:rsidRDefault="00000000" w:rsidRPr="00000000" w14:paraId="00000007">
      <w:pPr>
        <w:rPr/>
      </w:pPr>
      <w:r w:rsidDel="00000000" w:rsidR="00000000" w:rsidRPr="00000000">
        <w:rPr>
          <w:rtl w:val="0"/>
        </w:rPr>
        <w:t xml:space="preserve">II. Progress Made by MS</w:t>
      </w:r>
    </w:p>
    <w:p w:rsidR="00000000" w:rsidDel="00000000" w:rsidP="00000000" w:rsidRDefault="00000000" w:rsidRPr="00000000" w14:paraId="00000008">
      <w:pPr>
        <w:rPr/>
      </w:pPr>
      <w:r w:rsidDel="00000000" w:rsidR="00000000" w:rsidRPr="00000000">
        <w:rPr>
          <w:rtl w:val="0"/>
        </w:rPr>
        <w:t xml:space="preserve">MS’s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MS has focused on its ability to identify key clients and financial market utility providers, as well as planning for continuity of access to payment, clearing, and settlement services in times of stress and resolution. MS also continues to enhance its resolution liquidity calculation capabilities, including enhancing its ability to calibrate and alter assumptions in its resolution liquidity execution need (RLEN) methodologies. MS has made meaningful progress in its identification and maintenance of its objects of sale, including improving its capabilities to populate virtual data rooms and focusing on the continuation of services from key vendors. MS has also enhanced its ability to analyze its derivatives portfolio and identify and map its shared services. </w:t>
      </w:r>
    </w:p>
    <w:p w:rsidR="00000000" w:rsidDel="00000000" w:rsidP="00000000" w:rsidRDefault="00000000" w:rsidRPr="00000000" w14:paraId="00000009">
      <w:pPr>
        <w:rPr/>
      </w:pPr>
      <w:r w:rsidDel="00000000" w:rsidR="00000000" w:rsidRPr="00000000">
        <w:rPr>
          <w:rtl w:val="0"/>
        </w:rPr>
        <w:t xml:space="preserve">With respect to the Legal Entity Rationalization (LER) shortcoming identified in the 2017 Letter, the 2019 Plan reflected demonstrable progress, including the establishment of a funding entity to manage the estimation of needs for, and the distribution of, financial resources to material entity subsidiaries in resolution. The 2019 Plan also reflected the enhancement of LER criteria to minimize complexity and avoid the risk of misallocating resources to material entity subsidiaries. In addition, progress has been made in reducing the complexity of MS’s legal entity structure by reducing split ownership lines and simplifying overall entity population, including through the development of related project plans identified in the 2019 Plan and their partial completion. The Agencies expect MS to complete these ongoing initiatives and keep the Agencies informed of their progress. </w:t>
      </w:r>
    </w:p>
    <w:p w:rsidR="00000000" w:rsidDel="00000000" w:rsidP="00000000" w:rsidRDefault="00000000" w:rsidRPr="00000000" w14:paraId="0000000A">
      <w:pPr>
        <w:rPr/>
      </w:pPr>
      <w:r w:rsidDel="00000000" w:rsidR="00000000" w:rsidRPr="00000000">
        <w:rPr>
          <w:rtl w:val="0"/>
        </w:rPr>
        <w:t xml:space="preserve">III. Shortcoming Regarding Governance Mechanisms</w:t>
      </w:r>
    </w:p>
    <w:p w:rsidR="00000000" w:rsidDel="00000000" w:rsidP="00000000" w:rsidRDefault="00000000" w:rsidRPr="00000000" w14:paraId="0000000B">
      <w:pPr>
        <w:rPr/>
      </w:pPr>
      <w:r w:rsidDel="00000000" w:rsidR="00000000" w:rsidRPr="00000000">
        <w:rPr>
          <w:rtl w:val="0"/>
        </w:rPr>
        <w:t xml:space="preserve">The Agencies found MS to have a shortcoming related to implementation of its governance mechanism intended to facilitate SPOE by providing for the timely deployment of internal capital and liquidity. MS’s SPOE strategy contemplates that board actions will take place at the appropriate time, and having the underlying procedures in place to facilitate these board actions is inherently necessary to the strategy. Developing governance mechanisms has formed an integral part of MS’s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MS’s resolution plan development.</w:t>
      </w:r>
    </w:p>
    <w:p w:rsidR="00000000" w:rsidDel="00000000" w:rsidP="00000000" w:rsidRDefault="00000000" w:rsidRPr="00000000" w14:paraId="0000000C">
      <w:pPr>
        <w:rPr/>
      </w:pPr>
      <w:r w:rsidDel="00000000" w:rsidR="00000000" w:rsidRPr="00000000">
        <w:rPr>
          <w:rtl w:val="0"/>
        </w:rPr>
        <w:t xml:space="preserve">MS’s 2019 Plan and related capabilities did not demonstrate a reliable and timely process that would provide an appropriate level of confidence to the firm’s decisionmakers to act pursuant to the firm’s SSA, calling into question the feasibility of the 2019 Plan. Although MS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Support Investments. For example, the Agencies noted that MS has a plan for a more strategic model less susceptible to delay for producing support agreement-related metrics that is not currently in use. </w:t>
      </w:r>
    </w:p>
    <w:p w:rsidR="00000000" w:rsidDel="00000000" w:rsidP="00000000" w:rsidRDefault="00000000" w:rsidRPr="00000000" w14:paraId="0000000D">
      <w:pPr>
        <w:rPr/>
      </w:pPr>
      <w:r w:rsidDel="00000000" w:rsidR="00000000" w:rsidRPr="00000000">
        <w:rPr>
          <w:rtl w:val="0"/>
        </w:rPr>
        <w:t xml:space="preserve">To address this shortcoming, MS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w:t>
      </w:r>
    </w:p>
    <w:p w:rsidR="00000000" w:rsidDel="00000000" w:rsidP="00000000" w:rsidRDefault="00000000" w:rsidRPr="00000000" w14:paraId="0000000E">
      <w:pPr>
        <w:rPr/>
      </w:pPr>
      <w:r w:rsidDel="00000000" w:rsidR="00000000" w:rsidRPr="00000000">
        <w:rPr>
          <w:rtl w:val="0"/>
        </w:rPr>
        <w:t xml:space="preserve">Testing of MS’s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MS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 </w:t>
      </w:r>
    </w:p>
    <w:p w:rsidR="00000000" w:rsidDel="00000000" w:rsidP="00000000" w:rsidRDefault="00000000" w:rsidRPr="00000000" w14:paraId="0000000F">
      <w:pPr>
        <w:rPr/>
      </w:pPr>
      <w:r w:rsidDel="00000000" w:rsidR="00000000" w:rsidRPr="00000000">
        <w:rPr>
          <w:rtl w:val="0"/>
        </w:rPr>
        <w:t xml:space="preserve">IV. Remaining Projects</w:t>
      </w:r>
    </w:p>
    <w:p w:rsidR="00000000" w:rsidDel="00000000" w:rsidP="00000000" w:rsidRDefault="00000000" w:rsidRPr="00000000" w14:paraId="00000010">
      <w:pPr>
        <w:rPr/>
      </w:pPr>
      <w:r w:rsidDel="00000000" w:rsidR="00000000" w:rsidRPr="00000000">
        <w:rPr>
          <w:rtl w:val="0"/>
        </w:rPr>
        <w:t xml:space="preserve">MS’s 2019 Plan described ongoing resolvability enhancement initiatives. It is important that MS continue making progress to maintain and improve resolvability under the U.S. Bankruptcy Code, thus increasing the likelihood of MS’s successful implementation of its preferred SPOE strategy, should the need arise. </w:t>
      </w:r>
    </w:p>
    <w:p w:rsidR="00000000" w:rsidDel="00000000" w:rsidP="00000000" w:rsidRDefault="00000000" w:rsidRPr="00000000" w14:paraId="00000011">
      <w:pPr>
        <w:rPr/>
      </w:pPr>
      <w:r w:rsidDel="00000000" w:rsidR="00000000" w:rsidRPr="00000000">
        <w:rPr>
          <w:rtl w:val="0"/>
        </w:rPr>
        <w:t xml:space="preserve">MS described enhancements it has underway to improve its capabilities for producing the firm’s RLEN. The enhancements relate to the calibration of input assumptions for RLEN. MS’s 2019 Plan identified specific planned steps to implement those enhancements.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w:t>
      </w:r>
    </w:p>
    <w:p w:rsidR="00000000" w:rsidDel="00000000" w:rsidP="00000000" w:rsidRDefault="00000000" w:rsidRPr="00000000" w14:paraId="00000012">
      <w:pPr>
        <w:rPr/>
      </w:pPr>
      <w:r w:rsidDel="00000000" w:rsidR="00000000" w:rsidRPr="00000000">
        <w:rPr>
          <w:rtl w:val="0"/>
        </w:rPr>
        <w:t xml:space="preserve">The Agencies are considering RLEN capabilities as a potential area of focus for the 2021 targeted resolution plan. Accordingly, MS should provide an update on its RLEN enhancement initiatives by March 31, 2020. The Agencies will take any information received by that date into account in determining the scope of the 2021 targeted resolution plan. The Agencies will provide supplementary information to MS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3">
      <w:pPr>
        <w:rPr/>
      </w:pPr>
      <w:r w:rsidDel="00000000" w:rsidR="00000000" w:rsidRPr="00000000">
        <w:rPr>
          <w:rtl w:val="0"/>
        </w:rPr>
        <w:t xml:space="preserve">V. Conclusion </w:t>
      </w:r>
    </w:p>
    <w:p w:rsidR="00000000" w:rsidDel="00000000" w:rsidP="00000000" w:rsidRDefault="00000000" w:rsidRPr="00000000" w14:paraId="00000014">
      <w:pPr>
        <w:rPr/>
      </w:pPr>
      <w:r w:rsidDel="00000000" w:rsidR="00000000" w:rsidRPr="00000000">
        <w:rPr>
          <w:rtl w:val="0"/>
        </w:rPr>
        <w:t xml:space="preserve">The resolvability of firms will change as markets change and as firms’ activities, structures, and risk profiles change. The Agencies expect MS to continue to address the resolution consequences of these changes and its day-to-day management decisions to fulfill its obligation to enable the rapid and orderly resolution of MS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 </w:t>
      </w:r>
    </w:p>
    <w:p w:rsidR="00000000" w:rsidDel="00000000" w:rsidP="00000000" w:rsidRDefault="00000000" w:rsidRPr="00000000" w14:paraId="00000015">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6">
      <w:pPr>
        <w:rPr/>
      </w:pPr>
      <w:r w:rsidDel="00000000" w:rsidR="00000000" w:rsidRPr="00000000">
        <w:rPr>
          <w:rtl w:val="0"/>
        </w:rPr>
        <w:t xml:space="preserve">Endnote:</w:t>
      </w:r>
    </w:p>
    <w:p w:rsidR="00000000" w:rsidDel="00000000" w:rsidP="00000000" w:rsidRDefault="00000000" w:rsidRPr="00000000" w14:paraId="00000017">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MS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8">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9">
      <w:pPr>
        <w:rPr/>
      </w:pPr>
      <w:r w:rsidDel="00000000" w:rsidR="00000000" w:rsidRPr="00000000">
        <w:rPr>
          <w:rtl w:val="0"/>
        </w:rPr>
        <w:t xml:space="preserve">3 12 U.S.C. § 5365(d)(4).</w:t>
      </w:r>
    </w:p>
    <w:p w:rsidR="00000000" w:rsidDel="00000000" w:rsidP="00000000" w:rsidRDefault="00000000" w:rsidRPr="00000000" w14:paraId="0000001A">
      <w:pPr>
        <w:rPr/>
      </w:pPr>
      <w:r w:rsidDel="00000000" w:rsidR="00000000" w:rsidRPr="00000000">
        <w:rPr>
          <w:rtl w:val="0"/>
        </w:rPr>
        <w:t xml:space="preserve">4 This written guidance and feedback includes: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https://www.federalreserve.gov/newsevents/pressreleases/files/bcreg20171219a6.pdf</w:t>
        </w:r>
      </w:hyperlink>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 </w:t>
      </w:r>
    </w:p>
    <w:p w:rsidR="00000000" w:rsidDel="00000000" w:rsidP="00000000" w:rsidRDefault="00000000" w:rsidRPr="00000000" w14:paraId="0000001D">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 </w:t>
      </w:r>
    </w:p>
    <w:p w:rsidR="00000000" w:rsidDel="00000000" w:rsidP="00000000" w:rsidRDefault="00000000" w:rsidRPr="00000000" w14:paraId="0000001E">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