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Northern Trust Corporation (NTC) submitted in December 2017, as required by section 165(d) of the Dodd-Frank Wall Street Reform and Consumer Protection Act .1 (Dodd-Frank Act) and the jointly issued Resolution Plan Rule.2 The Agencies did not identify as a result of this review shortcomings or deficiencies in NTC’s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 .3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NTC is not subject to the resolution plan requirements of section 165(d) of the Dodd-Frank Act, then NTC will not be required to file a resolution plan unless NTC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NTC on July 2, 2018, the Agencies have jointly determined that NTC’s next resolution plan submission date will be extended to December 31, 2019. The Agencies are jointly issuing this letter to clarify expectations for the December 31, 2019, resolution plan (2019 Plan). NTC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The Agencies’ joint letter to NTC sent on March 24, 2017, identified three shortcomings in NTC’s 2015 resolution plan submission related to transfer of uninsured and foreign deposits to the bridge bank, shared and outsourced services, and resolution liquidity. Based upon their review of the 2017 Plan, the Agencies have jointly decided that the 2017 Plan satisfactorily addressed the shortcomings. With respect to the shortcoming regarding the bridge bank, the 2017 Plan included an analysis demonstrating how the establishment of a bridge bank and the transfer to it of all of the subsidiary insured depository institution’s assets and obligations, including those to uninsured domestic depositors and to general creditors including foreign depositors, could be the least costly resolution alternative. Regarding the shared and outsourced services shortcoming, the 2017 Plan confirmed that NTC has identified critical vendors and critical shared services and completed a review of the associated contracts, which included updating contractual language to mitigate risks relating to contract assignment and continuing access in resolution to services and technology. With respect to the liquidity shortcoming, the 2017 Plan reflected demonstrable progress, including the development of related project plans and their partial completion. The Agencies expect full completion of these pending projects. The 2019 Plan should demonstrate their completion or, for any projects that cannot be completed by December 2019, should identify the remaining elements of these projects that are not fully completed, and specify timelines to achieve full completion. If the Agencies jointly determine that these matters are not satisfactorily addressed in the 2019 Plan, the Agencies may determine jointly that the 2019 Plan is not credible or would not facilitate an orderly resolution under the U.S. Bankruptcy Code.</w:t>
      </w:r>
    </w:p>
    <w:p w:rsidR="00000000" w:rsidDel="00000000" w:rsidP="00000000" w:rsidRDefault="00000000" w:rsidRPr="00000000" w14:paraId="00000006">
      <w:pPr>
        <w:rPr/>
      </w:pPr>
      <w:r w:rsidDel="00000000" w:rsidR="00000000" w:rsidRPr="00000000">
        <w:rPr>
          <w:rtl w:val="0"/>
        </w:rPr>
        <w:t xml:space="preserve">The 2019 Plan should include pro forma balance sheets for each material entity at key junctures in the execution of the resolution strategy, beginning as of December 31, 2018. The pro forma financial statements should clearly evidence the losses or other stress event(s) leading to the bankruptcy filing and any other key assumptions underlying the plan, including the least cost analysis. In preparing the least cost analysis in the 2019 Plan, NTC should ensure that large variances in valuations of the same assets across different resolution strategies are sufficiently supported. Tor example, in the liquidation strategy discussion contained within the 2017 Plan’s least cost analysis, NTC used receivership valuations, which typically reflect impairment, for certain non-impaired assets.</w:t>
      </w:r>
    </w:p>
    <w:p w:rsidR="00000000" w:rsidDel="00000000" w:rsidP="00000000" w:rsidRDefault="00000000" w:rsidRPr="00000000" w14:paraId="00000007">
      <w:pPr>
        <w:rPr/>
      </w:pPr>
      <w:r w:rsidDel="00000000" w:rsidR="00000000" w:rsidRPr="00000000">
        <w:rPr>
          <w:rtl w:val="0"/>
        </w:rPr>
        <w:t xml:space="preserve">Except as described above, for the remaining elements of sections .4(b) through .4(g) of the Resolution Plan Rule, the 2019 Plan should provide updated financial statements, describe any material changes .4 to the information provided in the 2017 Plan pursuant to such sections, and incorporate by reference any such information that has not materially changed, with reference to the relevant chapter and page(s) of the 2017 Plan. The Agencies have exempted NTC from the remaining information requirements of section . 4 of the Resolution Plan Rule.</w:t>
      </w:r>
    </w:p>
    <w:p w:rsidR="00000000" w:rsidDel="00000000" w:rsidP="00000000" w:rsidRDefault="00000000" w:rsidRPr="00000000" w14:paraId="00000008">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NTC and includes, to the extent material to an understanding of NTC,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9">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NTC’s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w:t>
      </w:r>
    </w:p>
    <w:p w:rsidR="00000000" w:rsidDel="00000000" w:rsidP="00000000" w:rsidRDefault="00000000" w:rsidRPr="00000000" w14:paraId="0000000A">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Endnote:</w:t>
      </w:r>
    </w:p>
    <w:p w:rsidR="00000000" w:rsidDel="00000000" w:rsidP="00000000" w:rsidRDefault="00000000" w:rsidRPr="00000000" w14:paraId="0000000C">
      <w:pPr>
        <w:rPr/>
      </w:pPr>
      <w:r w:rsidDel="00000000" w:rsidR="00000000" w:rsidRPr="00000000">
        <w:rPr>
          <w:rtl w:val="0"/>
        </w:rPr>
        <w:t xml:space="preserve">1 12 U.S.C. § 5365(d).</w:t>
      </w:r>
    </w:p>
    <w:p w:rsidR="00000000" w:rsidDel="00000000" w:rsidP="00000000" w:rsidRDefault="00000000" w:rsidRPr="00000000" w14:paraId="0000000D">
      <w:pPr>
        <w:rPr/>
      </w:pPr>
      <w:r w:rsidDel="00000000" w:rsidR="00000000" w:rsidRPr="00000000">
        <w:rPr>
          <w:rtl w:val="0"/>
        </w:rPr>
        <w:t xml:space="preserve">2 12 CFR Part 243 (Board) and 12 CFR Part 381 (FDIC).</w:t>
      </w:r>
    </w:p>
    <w:p w:rsidR="00000000" w:rsidDel="00000000" w:rsidP="00000000" w:rsidRDefault="00000000" w:rsidRPr="00000000" w14:paraId="0000000E">
      <w:pPr>
        <w:rPr/>
      </w:pPr>
      <w:r w:rsidDel="00000000" w:rsidR="00000000" w:rsidRPr="00000000">
        <w:rPr>
          <w:rtl w:val="0"/>
        </w:rPr>
        <w:t xml:space="preserve">3 Pub. L . No. 115-174, 132 Stat. 1296 (2018)</w:t>
      </w:r>
    </w:p>
    <w:p w:rsidR="00000000" w:rsidDel="00000000" w:rsidP="00000000" w:rsidRDefault="00000000" w:rsidRPr="00000000" w14:paraId="0000000F">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10">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