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Royal Bank ofCanada (Covered Company) submitted in December 2018, as required by section 165(d) of the Dodd-Frank Wall Street Reform and Consumer Protection Act.1 and the jointly issued Resolution Plan Rule.2 The Agencies did not identify shortcomings or deficiencies in the Covered Company’s 2018 Plan as a result of 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 2021, or such other date that may be specified when the Agencies adopt the Final Rule. The Covered Company should refer to the Final Rule for the content requirements ofits subsequent resolution plan submission.</w:t>
      </w:r>
    </w:p>
    <w:p w:rsidR="00000000" w:rsidDel="00000000" w:rsidP="00000000" w:rsidRDefault="00000000" w:rsidRPr="00000000" w14:paraId="00000004">
      <w:pPr>
        <w:rPr/>
      </w:pPr>
      <w:r w:rsidDel="00000000" w:rsidR="00000000" w:rsidRPr="00000000">
        <w:rPr>
          <w:rtl w:val="0"/>
        </w:rPr>
        <w:t xml:space="preserve">The 2018 Plan's resolution strategy has changed from prior years and now is a single point of entry at the U.S. intermediate holding company through the conversion of bail-in debt. However, this strategy is not yet feasible as the Covered Company has not completed the issuance of unsecured term debt by its U.S. intermediate holding company. Pursuant to the Board’s Regulation YY, the Covered Company is expected to come into compliance with the Total Loss Absorbing Capacity capital requirements by January 1, 2021. See 12 C.F.R. §§ 252.162(a)-(b). The Covered Company’s next resolution plan submission should provide an update regarding the issuance ofunsecured term debt by its U.S. intermediate holding company.</w:t>
      </w:r>
    </w:p>
    <w:p w:rsidR="00000000" w:rsidDel="00000000" w:rsidP="00000000" w:rsidRDefault="00000000" w:rsidRPr="00000000" w14:paraId="00000005">
      <w:pPr>
        <w:rPr/>
      </w:pPr>
      <w:r w:rsidDel="00000000" w:rsidR="00000000" w:rsidRPr="00000000">
        <w:rPr>
          <w:rtl w:val="0"/>
        </w:rPr>
        <w:t xml:space="preserve">Additionally, the Covered Company is implementing a process to comprehensively review and update contracts to facilitate operational continuity. The next resolution plan should provide an update regarding the changes that have been implemented or are planned as a result of this contract review process.</w:t>
      </w:r>
    </w:p>
    <w:p w:rsidR="00000000" w:rsidDel="00000000" w:rsidP="00000000" w:rsidRDefault="00000000" w:rsidRPr="00000000" w14:paraId="00000006">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Endnote:</w:t>
      </w:r>
    </w:p>
    <w:p w:rsidR="00000000" w:rsidDel="00000000" w:rsidP="00000000" w:rsidRDefault="00000000" w:rsidRPr="00000000" w14:paraId="00000008">
      <w:pPr>
        <w:rPr/>
      </w:pPr>
      <w:r w:rsidDel="00000000" w:rsidR="00000000" w:rsidRPr="00000000">
        <w:rPr>
          <w:rtl w:val="0"/>
        </w:rPr>
        <w:t xml:space="preserve">1 12 U.S.C. § 5365(d)</w:t>
      </w:r>
    </w:p>
    <w:p w:rsidR="00000000" w:rsidDel="00000000" w:rsidP="00000000" w:rsidRDefault="00000000" w:rsidRPr="00000000" w14:paraId="00000009">
      <w:pPr>
        <w:rPr/>
      </w:pPr>
      <w:r w:rsidDel="00000000" w:rsidR="00000000" w:rsidRPr="00000000">
        <w:rPr>
          <w:rtl w:val="0"/>
        </w:rPr>
        <w:t xml:space="preserve">2 12 CFR Part 243 (Board) and 12 CFR Part 381 (FDIC).</w:t>
      </w:r>
    </w:p>
    <w:p w:rsidR="00000000" w:rsidDel="00000000" w:rsidP="00000000" w:rsidRDefault="00000000" w:rsidRPr="00000000" w14:paraId="0000000A">
      <w:pPr>
        <w:rPr/>
      </w:pPr>
      <w:r w:rsidDel="00000000" w:rsidR="00000000" w:rsidRPr="00000000">
        <w:rPr>
          <w:rtl w:val="0"/>
        </w:rPr>
        <w:t xml:space="preserve">3 Resolution Plans Required. 84 FR 21600 (May 14, 2019), https://www.federalregister.gov/documents/2019/05/14/2019-08478/resolution-plans-required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