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The Goldman Sachs Group, Inc. (GS) required by section 165(d) of the Dodd-Frank Wall Street Reform and Consumer Protection Act (Dodd-Frank Act), 12 U.S.C. § 5365(d), and the jointly issued implementing regulation, 12 CFR part 243 and 12 CFR part 381 (the Resolution Plan Rule). 1 The Agencies have reviewed the 2019 Plan taking into consideration section 165(d) of the Dodd-Frank Act, the Resolution Plan Rule, the letter that the Agencies provided to GS on December 19, 2017 (the 2017 Letter) regarding GS’s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 of the Agencies engaged with GS during the development of its 2019 Plan to answer questions, including those regarding the Domestic Guidance, and to understand the changes GS has made since the 2017 Plan.</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GS’s prior resolution plan submissions, as described below. The Agencies concluded that the 2019 Plan satisfactorily addressed the shortcoming that the Agencies identified in the 2017 Plan, as further described in section II below. Based upon their review of the 2019 Plan, the Agencies did not identify shortcomings or deficiencies in the 2019 Plan but noted areas in which GS should continue to improve its resolution capabilities, as discussed in section III below. </w:t>
      </w:r>
    </w:p>
    <w:p w:rsidR="00000000" w:rsidDel="00000000" w:rsidP="00000000" w:rsidRDefault="00000000" w:rsidRPr="00000000" w14:paraId="00000003">
      <w:pPr>
        <w:rPr/>
      </w:pPr>
      <w:r w:rsidDel="00000000" w:rsidR="00000000" w:rsidRPr="00000000">
        <w:rPr>
          <w:rtl w:val="0"/>
        </w:rPr>
        <w:t xml:space="preserve">I. Background</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GS’s development of a resolution plan that satisfies the requirements of section 165(d) of the Dodd-Frank Act.4 GS’s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w:t>
      </w:r>
    </w:p>
    <w:p w:rsidR="00000000" w:rsidDel="00000000" w:rsidP="00000000" w:rsidRDefault="00000000" w:rsidRPr="00000000" w14:paraId="00000006">
      <w:pPr>
        <w:rPr/>
      </w:pPr>
      <w:r w:rsidDel="00000000" w:rsidR="00000000" w:rsidRPr="00000000">
        <w:rPr>
          <w:rtl w:val="0"/>
        </w:rPr>
        <w:t xml:space="preserve">GS has taken important steps to enhance the firm’s resolvability and facilitate its orderly resolution in bankruptcy, the most recent of which are summarized in more detail in section II below. Given the significant progress in GS’s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GS’s resolution preparedness and areas on which GS should focus its ongoing efforts. To that end, the Agencies’ 2019 Plan review included tests of certain capabilities relevant to the execution of GS’s SPOE strategy, including governance, financial reporting, and management information systems capabilities related to implementation of the Amended Capital and Liquidity Support Agreement (SSA). </w:t>
      </w:r>
    </w:p>
    <w:p w:rsidR="00000000" w:rsidDel="00000000" w:rsidP="00000000" w:rsidRDefault="00000000" w:rsidRPr="00000000" w14:paraId="00000007">
      <w:pPr>
        <w:rPr/>
      </w:pPr>
      <w:r w:rsidDel="00000000" w:rsidR="00000000" w:rsidRPr="00000000">
        <w:rPr>
          <w:rtl w:val="0"/>
        </w:rPr>
        <w:t xml:space="preserve">II. Progress Made by GS</w:t>
      </w:r>
    </w:p>
    <w:p w:rsidR="00000000" w:rsidDel="00000000" w:rsidP="00000000" w:rsidRDefault="00000000" w:rsidRPr="00000000" w14:paraId="00000008">
      <w:pPr>
        <w:rPr/>
      </w:pPr>
      <w:r w:rsidDel="00000000" w:rsidR="00000000" w:rsidRPr="00000000">
        <w:rPr>
          <w:rtl w:val="0"/>
        </w:rPr>
        <w:t xml:space="preserve">GS’s initiatives to enhance the firm’s resolvability have included efforts to incorporate resolution planning into business-as-usual governance, operations, and processes. These initiatives have entailed investment of considerable resources into technology and systems to enhance resolution capabilities. In the payment, clearing, and settlement area, GS has focused on its ability to identify key clients and financial market utility providers, as well as planning for continuity of access to payment, clearing, and settlement services in times of stress and resolution. GS also continues to enhance its resolution liquidity calculation capabilities, including by enhancing its ability to calibrate and alter assumptions in its resolution liquidity execution need (RLEN) methodologies and by running daily spot RLEN calculations following the 2017 Plan submission. GS has made meaningful progress in its identification and maintenance of its objects of sale, including improving its capabilities to populate virtual data rooms and focusing on the continuation of services from key vendors. GS has enhanced its ability to analyze its derivatives portfolio and identify and map its shared services. GS has continued to refine its governance mechanism capabilities, including by integrating its ability to generate resolution metrics from business-as-usual systems.</w:t>
      </w:r>
    </w:p>
    <w:p w:rsidR="00000000" w:rsidDel="00000000" w:rsidP="00000000" w:rsidRDefault="00000000" w:rsidRPr="00000000" w14:paraId="00000009">
      <w:pPr>
        <w:rPr/>
      </w:pPr>
      <w:r w:rsidDel="00000000" w:rsidR="00000000" w:rsidRPr="00000000">
        <w:rPr>
          <w:rtl w:val="0"/>
        </w:rPr>
        <w:t xml:space="preserve">Finally, GS has adequately addressed the separability analysis shortcoming identified in the 2017 Letter. In response to the shortcoming, GS created and implemented a new assessment framework that incorporates a broad review of potential impediments to each proposed transaction, evaluates the risk of each potential impediment, and identifies mitigating actions that could be taken if the impediment occurs.</w:t>
      </w:r>
    </w:p>
    <w:p w:rsidR="00000000" w:rsidDel="00000000" w:rsidP="00000000" w:rsidRDefault="00000000" w:rsidRPr="00000000" w14:paraId="0000000A">
      <w:pPr>
        <w:rPr/>
      </w:pPr>
      <w:r w:rsidDel="00000000" w:rsidR="00000000" w:rsidRPr="00000000">
        <w:rPr>
          <w:rtl w:val="0"/>
        </w:rPr>
        <w:t xml:space="preserve">III. Remaining Projects</w:t>
      </w:r>
    </w:p>
    <w:p w:rsidR="00000000" w:rsidDel="00000000" w:rsidP="00000000" w:rsidRDefault="00000000" w:rsidRPr="00000000" w14:paraId="0000000B">
      <w:pPr>
        <w:rPr/>
      </w:pPr>
      <w:r w:rsidDel="00000000" w:rsidR="00000000" w:rsidRPr="00000000">
        <w:rPr>
          <w:rtl w:val="0"/>
        </w:rPr>
        <w:t xml:space="preserve">GS’s 2019 Plan described ongoing resolvability enhancement initiatives. It is important that GS continue making progress to maintain and improve resolvability under the U.S. Bankruptcy Code, thus increasing the likelihood of GS’s successful implementation of its preferred SPOE strategy, should the need arise. </w:t>
      </w:r>
    </w:p>
    <w:p w:rsidR="00000000" w:rsidDel="00000000" w:rsidP="00000000" w:rsidRDefault="00000000" w:rsidRPr="00000000" w14:paraId="0000000C">
      <w:pPr>
        <w:rPr/>
      </w:pPr>
      <w:r w:rsidDel="00000000" w:rsidR="00000000" w:rsidRPr="00000000">
        <w:rPr>
          <w:rtl w:val="0"/>
        </w:rPr>
        <w:t xml:space="preserve">GS described enhancements it has underway to improve its capabilities for producing the firm’s RLEN. 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w:t>
      </w:r>
    </w:p>
    <w:p w:rsidR="00000000" w:rsidDel="00000000" w:rsidP="00000000" w:rsidRDefault="00000000" w:rsidRPr="00000000" w14:paraId="0000000D">
      <w:pPr>
        <w:rPr/>
      </w:pPr>
      <w:r w:rsidDel="00000000" w:rsidR="00000000" w:rsidRPr="00000000">
        <w:rPr>
          <w:rtl w:val="0"/>
        </w:rPr>
        <w:t xml:space="preserve">The Agencies are considering RLEN capabilities as a potential area of focus for the 2021 targeted resolution plan. Accordingly, GS should provide an update on its RLEN enhancement initiatives by March 31, 2020. The Agencies will take any information received by that date into account in determining the scope of the 2021 targeted resolution plan. The Agencies will provide supplementary information to GS by June 30, 2020, on key areas of focus, questions, and issues that must be addressed in its 2021 targeted resolution plan, consistent with the Amended Resolution Plan Rule.</w:t>
      </w:r>
    </w:p>
    <w:p w:rsidR="00000000" w:rsidDel="00000000" w:rsidP="00000000" w:rsidRDefault="00000000" w:rsidRPr="00000000" w14:paraId="0000000E">
      <w:pPr>
        <w:rPr/>
      </w:pPr>
      <w:r w:rsidDel="00000000" w:rsidR="00000000" w:rsidRPr="00000000">
        <w:rPr>
          <w:rtl w:val="0"/>
        </w:rPr>
        <w:t xml:space="preserve">IV. Conclusion</w:t>
      </w:r>
    </w:p>
    <w:p w:rsidR="00000000" w:rsidDel="00000000" w:rsidP="00000000" w:rsidRDefault="00000000" w:rsidRPr="00000000" w14:paraId="0000000F">
      <w:pPr>
        <w:rPr/>
      </w:pPr>
      <w:r w:rsidDel="00000000" w:rsidR="00000000" w:rsidRPr="00000000">
        <w:rPr>
          <w:rtl w:val="0"/>
        </w:rPr>
        <w:t xml:space="preserve">The resolvability of firms will change as markets change and as firms’ activities, structures, and risk profiles change. The Agencies expect GS to continue to address the resolution consequences of these changes and its day-to-day management decisions to fulfill its obligation to enable the rapid and orderly resolution of GS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w:t>
      </w:r>
    </w:p>
    <w:p w:rsidR="00000000" w:rsidDel="00000000" w:rsidP="00000000" w:rsidRDefault="00000000" w:rsidRPr="00000000" w14:paraId="00000010">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1">
      <w:pPr>
        <w:rPr/>
      </w:pPr>
      <w:r w:rsidDel="00000000" w:rsidR="00000000" w:rsidRPr="00000000">
        <w:rPr>
          <w:rtl w:val="0"/>
        </w:rPr>
        <w:t xml:space="preserve">Endnote:</w:t>
      </w:r>
    </w:p>
    <w:p w:rsidR="00000000" w:rsidDel="00000000" w:rsidP="00000000" w:rsidRDefault="00000000" w:rsidRPr="00000000" w14:paraId="00000012">
      <w:pPr>
        <w:rPr/>
      </w:pPr>
      <w:r w:rsidDel="00000000" w:rsidR="00000000" w:rsidRPr="00000000">
        <w:rPr>
          <w:rtl w:val="0"/>
        </w:rPr>
        <w:t xml:space="preserve">1 The Agencies recently amended the Resolution Plan Rule. See 84 Fed. Reg. 59,194 (November 1, 2019) (the Amended Resolution Plan Rule). The Amended Resolution Plan Rule became effective on December 31, 2019. GS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3">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4">
      <w:pPr>
        <w:rPr/>
      </w:pPr>
      <w:r w:rsidDel="00000000" w:rsidR="00000000" w:rsidRPr="00000000">
        <w:rPr>
          <w:rtl w:val="0"/>
        </w:rPr>
        <w:t xml:space="preserve">3 12 U.S.C. § 5365(d)(4).</w:t>
      </w:r>
    </w:p>
    <w:p w:rsidR="00000000" w:rsidDel="00000000" w:rsidP="00000000" w:rsidRDefault="00000000" w:rsidRPr="00000000" w14:paraId="00000015">
      <w:pPr>
        <w:rPr/>
      </w:pPr>
      <w:r w:rsidDel="00000000" w:rsidR="00000000" w:rsidRPr="00000000">
        <w:rPr>
          <w:rtl w:val="0"/>
        </w:rPr>
        <w:t xml:space="preserve">4 This written guidance and feedback includes: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https://www.federalreserve.gov/newsevents/pressreleases/files/bcreg20171219a4.pdf</w:t>
        </w:r>
      </w:hyperlink>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Domestic Guidance, https://www.federalregister.gov/documents/2019/02/04/2019-00800/final-guidancefor-the-2019.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