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The PNC Financial Services Group, Inc. (Covered Company) submitted in December 2017, as required by section 165( d) of the Dodd-Frank Wall Street Reform and Consumer Protection Act [Fotne1 - 12 U.S.C. § 5365(d). EndofFte 1.] (Dodd-Frank Act) and the jointly issued Resolution Plan Rule. [Fotne2 - 12 CFR Part 243 (Board) and 12 CFR Part 381 (FDIC). EndofFte 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3">
      <w:pPr>
        <w:rPr/>
      </w:pPr>
      <w:r w:rsidDel="00000000" w:rsidR="00000000" w:rsidRPr="00000000">
        <w:rPr>
          <w:rtl w:val="0"/>
        </w:rPr>
        <w:t xml:space="preserve">For sections .4(b) through .4(g) of the Resolution Plan Rule, the 2019 Plan should provide updated financial statements, describe any material changes [Fotne3 - Material changes could include, for example, changes resulting from organizational restructuring or changes to resolution planning governance or resolution strategy. EndofFte 3.]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4">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5">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Material changes could include, for example, changes resulting from organizational restructuring or changes to resolution planning governance or resolution strategy.</w:t>
      </w:r>
    </w:p>
    <w:p w:rsidR="00000000" w:rsidDel="00000000" w:rsidP="00000000" w:rsidRDefault="00000000" w:rsidRPr="00000000" w14:paraId="0000000A">
      <w:pPr>
        <w:rPr/>
      </w:pPr>
      <w:r w:rsidDel="00000000" w:rsidR="00000000" w:rsidRPr="00000000">
        <w:rPr>
          <w:rtl w:val="0"/>
        </w:rPr>
        <w:t xml:space="preserve">4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