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The Toronto-Dominion Bank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The 2018 Plan notes that certain IT services provided from [Redacted.] would be necessary in the resolution of the Covered Company’s U.S. material entities. While the post-termination disengagement assistance is discussed in the 2018 Plan to facilitate orderly transitions, the 2018 Plan also discusses backup or contingency plans to ensure IT services would continue if the affiliated entities located in [Redacted.] do not or cannot provide such services. However, the detail provided by the 2018 Plan concerning these backup and contingency plans is insufficient to support the conclusion that they provide effective mitigants to the risk of services interruption or discontinuance. The next resolution plan submission should describe how the Covered Company has addressed the risks associated with loss of access to IT services provided from [Redacted.]</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Resolution Plans Required. 84 FR 21600 (May 14, 2019), https://www.federalregister.gov/documents/2019/05/14/2019-08478/resolution-plans-required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