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or before July 1, 2022, the Board of Governors of the Federal Reserve System (Board) and the Federal Deposit Insurance Corporation (FDIC) (together, the Agencies) received the resolution plan submission (2022 Plan) of [Covered Company] (the Covered Company), as required by section 165(d) of the Dodd-Frank Wall Street Reform and Consumer Protection Act, as amended (Dodd-Frank Act), 12 U.S.C. § 5365(d), and the jointly issued implementing regulation, 12 CFR Part 243 and 12 CFR Part 381, as amended (Resolution Plan Rule).</w:t>
      </w:r>
    </w:p>
    <w:p w:rsidR="00000000" w:rsidDel="00000000" w:rsidP="00000000" w:rsidRDefault="00000000" w:rsidRPr="00000000" w14:paraId="00000002">
      <w:pPr>
        <w:rPr/>
      </w:pPr>
      <w:r w:rsidDel="00000000" w:rsidR="00000000" w:rsidRPr="00000000">
        <w:rPr>
          <w:rtl w:val="0"/>
        </w:rPr>
        <w:t xml:space="preserve">The Agencies have reviewed the 2022 Plan, taking into consideration section 165(d) of the Dodd-Frank Act, the Resolution Plan Rule, and certain other information available to the Agencies. The Agencies did not identify as a result of this review shortcomings or deficiencies in the Covered Company’s 2022 Plan. </w:t>
      </w:r>
    </w:p>
    <w:p w:rsidR="00000000" w:rsidDel="00000000" w:rsidP="00000000" w:rsidRDefault="00000000" w:rsidRPr="00000000" w14:paraId="00000003">
      <w:pPr>
        <w:rPr/>
      </w:pPr>
      <w:r w:rsidDel="00000000" w:rsidR="00000000" w:rsidRPr="00000000">
        <w:rPr>
          <w:rtl w:val="0"/>
        </w:rPr>
        <w:t xml:space="preserve">Under the Resolution Plan Rule, the Covered Company is required to submit its next resolution plan, consistent with section __.7 of the Resolution Plan Rule, on or before July 1, 2025, pursuant to section __.4(c) of the Resolution Plan Rule. </w:t>
      </w:r>
    </w:p>
    <w:p w:rsidR="00000000" w:rsidDel="00000000" w:rsidP="00000000" w:rsidRDefault="00000000" w:rsidRPr="00000000" w14:paraId="00000004">
      <w:pPr>
        <w:rPr/>
      </w:pPr>
      <w:r w:rsidDel="00000000" w:rsidR="00000000" w:rsidRPr="00000000">
        <w:rPr>
          <w:rtl w:val="0"/>
        </w:rPr>
        <w:t xml:space="preserve">If you have any questions about the information communicated in this letter, please contact the Agencies. </w:t>
      </w:r>
    </w:p>
    <w:p w:rsidR="00000000" w:rsidDel="00000000" w:rsidP="00000000" w:rsidRDefault="00000000" w:rsidRPr="00000000" w14:paraId="00000005">
      <w:pPr>
        <w:rPr/>
      </w:pPr>
      <w:r w:rsidDel="00000000" w:rsidR="00000000" w:rsidRPr="00000000">
        <w:rPr>
          <w:rtl w:val="0"/>
        </w:rPr>
        <w:t xml:space="preserve">Appendix: Foreign Banking Organizations with Resolution Plans Due on or before July 1, 2022 </w:t>
      </w:r>
    </w:p>
    <w:p w:rsidR="00000000" w:rsidDel="00000000" w:rsidP="00000000" w:rsidRDefault="00000000" w:rsidRPr="00000000" w14:paraId="00000006">
      <w:pPr>
        <w:rPr/>
      </w:pPr>
      <w:r w:rsidDel="00000000" w:rsidR="00000000" w:rsidRPr="00000000">
        <w:rPr>
          <w:rtl w:val="0"/>
        </w:rPr>
        <w:t xml:space="preserve">1. Agricultural Bank of China Limited</w:t>
      </w:r>
    </w:p>
    <w:p w:rsidR="00000000" w:rsidDel="00000000" w:rsidP="00000000" w:rsidRDefault="00000000" w:rsidRPr="00000000" w14:paraId="00000007">
      <w:pPr>
        <w:rPr/>
      </w:pPr>
      <w:r w:rsidDel="00000000" w:rsidR="00000000" w:rsidRPr="00000000">
        <w:rPr>
          <w:rtl w:val="0"/>
        </w:rPr>
        <w:t xml:space="preserve">2. Australia and New Zealand Banking Group Limited</w:t>
      </w:r>
    </w:p>
    <w:p w:rsidR="00000000" w:rsidDel="00000000" w:rsidP="00000000" w:rsidRDefault="00000000" w:rsidRPr="00000000" w14:paraId="00000008">
      <w:pPr>
        <w:rPr/>
      </w:pPr>
      <w:r w:rsidDel="00000000" w:rsidR="00000000" w:rsidRPr="00000000">
        <w:rPr>
          <w:rtl w:val="0"/>
        </w:rPr>
        <w:t xml:space="preserve">3. Banco Bilbao Vizcaya Argentaria, S.A.</w:t>
      </w:r>
    </w:p>
    <w:p w:rsidR="00000000" w:rsidDel="00000000" w:rsidP="00000000" w:rsidRDefault="00000000" w:rsidRPr="00000000" w14:paraId="00000009">
      <w:pPr>
        <w:rPr/>
      </w:pPr>
      <w:r w:rsidDel="00000000" w:rsidR="00000000" w:rsidRPr="00000000">
        <w:rPr>
          <w:rtl w:val="0"/>
        </w:rPr>
        <w:t xml:space="preserve">4. Banco Bradesco S.A.</w:t>
      </w:r>
    </w:p>
    <w:p w:rsidR="00000000" w:rsidDel="00000000" w:rsidP="00000000" w:rsidRDefault="00000000" w:rsidRPr="00000000" w14:paraId="0000000A">
      <w:pPr>
        <w:rPr/>
      </w:pPr>
      <w:r w:rsidDel="00000000" w:rsidR="00000000" w:rsidRPr="00000000">
        <w:rPr>
          <w:rtl w:val="0"/>
        </w:rPr>
        <w:t xml:space="preserve">5. Banco De Sabadell, S.A.</w:t>
      </w:r>
    </w:p>
    <w:p w:rsidR="00000000" w:rsidDel="00000000" w:rsidP="00000000" w:rsidRDefault="00000000" w:rsidRPr="00000000" w14:paraId="0000000B">
      <w:pPr>
        <w:rPr/>
      </w:pPr>
      <w:r w:rsidDel="00000000" w:rsidR="00000000" w:rsidRPr="00000000">
        <w:rPr>
          <w:rtl w:val="0"/>
        </w:rPr>
        <w:t xml:space="preserve">6. Banco do Brasil S.A.</w:t>
      </w:r>
    </w:p>
    <w:p w:rsidR="00000000" w:rsidDel="00000000" w:rsidP="00000000" w:rsidRDefault="00000000" w:rsidRPr="00000000" w14:paraId="0000000C">
      <w:pPr>
        <w:rPr/>
      </w:pPr>
      <w:r w:rsidDel="00000000" w:rsidR="00000000" w:rsidRPr="00000000">
        <w:rPr>
          <w:rtl w:val="0"/>
        </w:rPr>
        <w:t xml:space="preserve">7. Banco Santander, S.A.</w:t>
      </w:r>
    </w:p>
    <w:p w:rsidR="00000000" w:rsidDel="00000000" w:rsidP="00000000" w:rsidRDefault="00000000" w:rsidRPr="00000000" w14:paraId="0000000D">
      <w:pPr>
        <w:rPr/>
      </w:pPr>
      <w:r w:rsidDel="00000000" w:rsidR="00000000" w:rsidRPr="00000000">
        <w:rPr>
          <w:rtl w:val="0"/>
        </w:rPr>
        <w:t xml:space="preserve">8. Bank of China Limited</w:t>
      </w:r>
    </w:p>
    <w:p w:rsidR="00000000" w:rsidDel="00000000" w:rsidP="00000000" w:rsidRDefault="00000000" w:rsidRPr="00000000" w14:paraId="0000000E">
      <w:pPr>
        <w:rPr/>
      </w:pPr>
      <w:r w:rsidDel="00000000" w:rsidR="00000000" w:rsidRPr="00000000">
        <w:rPr>
          <w:rtl w:val="0"/>
        </w:rPr>
        <w:t xml:space="preserve">9. Bank of Communications Co., Ltd.</w:t>
      </w:r>
    </w:p>
    <w:p w:rsidR="00000000" w:rsidDel="00000000" w:rsidP="00000000" w:rsidRDefault="00000000" w:rsidRPr="00000000" w14:paraId="0000000F">
      <w:pPr>
        <w:rPr/>
      </w:pPr>
      <w:r w:rsidDel="00000000" w:rsidR="00000000" w:rsidRPr="00000000">
        <w:rPr>
          <w:rtl w:val="0"/>
        </w:rPr>
        <w:t xml:space="preserve">10. The Bank of Nova Scotia</w:t>
      </w:r>
    </w:p>
    <w:p w:rsidR="00000000" w:rsidDel="00000000" w:rsidP="00000000" w:rsidRDefault="00000000" w:rsidRPr="00000000" w14:paraId="00000010">
      <w:pPr>
        <w:rPr/>
      </w:pPr>
      <w:r w:rsidDel="00000000" w:rsidR="00000000" w:rsidRPr="00000000">
        <w:rPr>
          <w:rtl w:val="0"/>
        </w:rPr>
        <w:t xml:space="preserve">11. Bayerische Landesbank</w:t>
      </w:r>
    </w:p>
    <w:p w:rsidR="00000000" w:rsidDel="00000000" w:rsidP="00000000" w:rsidRDefault="00000000" w:rsidRPr="00000000" w14:paraId="00000011">
      <w:pPr>
        <w:rPr/>
      </w:pPr>
      <w:r w:rsidDel="00000000" w:rsidR="00000000" w:rsidRPr="00000000">
        <w:rPr>
          <w:rtl w:val="0"/>
        </w:rPr>
        <w:t xml:space="preserve">12. BPCE</w:t>
      </w:r>
    </w:p>
    <w:p w:rsidR="00000000" w:rsidDel="00000000" w:rsidP="00000000" w:rsidRDefault="00000000" w:rsidRPr="00000000" w14:paraId="00000012">
      <w:pPr>
        <w:rPr/>
      </w:pPr>
      <w:r w:rsidDel="00000000" w:rsidR="00000000" w:rsidRPr="00000000">
        <w:rPr>
          <w:rtl w:val="0"/>
        </w:rPr>
        <w:t xml:space="preserve">13. Caisse Federale de Credit Mutuel</w:t>
      </w:r>
    </w:p>
    <w:p w:rsidR="00000000" w:rsidDel="00000000" w:rsidP="00000000" w:rsidRDefault="00000000" w:rsidRPr="00000000" w14:paraId="00000013">
      <w:pPr>
        <w:rPr/>
      </w:pPr>
      <w:r w:rsidDel="00000000" w:rsidR="00000000" w:rsidRPr="00000000">
        <w:rPr>
          <w:rtl w:val="0"/>
        </w:rPr>
        <w:t xml:space="preserve">14. Canadian Imperial Bank of Commerce</w:t>
      </w:r>
    </w:p>
    <w:p w:rsidR="00000000" w:rsidDel="00000000" w:rsidP="00000000" w:rsidRDefault="00000000" w:rsidRPr="00000000" w14:paraId="00000014">
      <w:pPr>
        <w:rPr/>
      </w:pPr>
      <w:r w:rsidDel="00000000" w:rsidR="00000000" w:rsidRPr="00000000">
        <w:rPr>
          <w:rtl w:val="0"/>
        </w:rPr>
        <w:t xml:space="preserve">15. China Construction Bank Corporation</w:t>
      </w:r>
    </w:p>
    <w:p w:rsidR="00000000" w:rsidDel="00000000" w:rsidP="00000000" w:rsidRDefault="00000000" w:rsidRPr="00000000" w14:paraId="00000015">
      <w:pPr>
        <w:rPr/>
      </w:pPr>
      <w:r w:rsidDel="00000000" w:rsidR="00000000" w:rsidRPr="00000000">
        <w:rPr>
          <w:rtl w:val="0"/>
        </w:rPr>
        <w:t xml:space="preserve">16. China Merchants Group Limited</w:t>
      </w:r>
    </w:p>
    <w:p w:rsidR="00000000" w:rsidDel="00000000" w:rsidP="00000000" w:rsidRDefault="00000000" w:rsidRPr="00000000" w14:paraId="00000016">
      <w:pPr>
        <w:rPr/>
      </w:pPr>
      <w:r w:rsidDel="00000000" w:rsidR="00000000" w:rsidRPr="00000000">
        <w:rPr>
          <w:rtl w:val="0"/>
        </w:rPr>
        <w:t xml:space="preserve">17. CITIC Group Corporation</w:t>
      </w:r>
    </w:p>
    <w:p w:rsidR="00000000" w:rsidDel="00000000" w:rsidP="00000000" w:rsidRDefault="00000000" w:rsidRPr="00000000" w14:paraId="00000017">
      <w:pPr>
        <w:rPr/>
      </w:pPr>
      <w:r w:rsidDel="00000000" w:rsidR="00000000" w:rsidRPr="00000000">
        <w:rPr>
          <w:rtl w:val="0"/>
        </w:rPr>
        <w:t xml:space="preserve">18. Commerzbank Aktiengesellschaft</w:t>
      </w:r>
    </w:p>
    <w:p w:rsidR="00000000" w:rsidDel="00000000" w:rsidP="00000000" w:rsidRDefault="00000000" w:rsidRPr="00000000" w14:paraId="00000018">
      <w:pPr>
        <w:rPr/>
      </w:pPr>
      <w:r w:rsidDel="00000000" w:rsidR="00000000" w:rsidRPr="00000000">
        <w:rPr>
          <w:rtl w:val="0"/>
        </w:rPr>
        <w:t xml:space="preserve">19. Commonwealth Bank of Australia</w:t>
      </w:r>
    </w:p>
    <w:p w:rsidR="00000000" w:rsidDel="00000000" w:rsidP="00000000" w:rsidRDefault="00000000" w:rsidRPr="00000000" w14:paraId="00000019">
      <w:pPr>
        <w:rPr/>
      </w:pPr>
      <w:r w:rsidDel="00000000" w:rsidR="00000000" w:rsidRPr="00000000">
        <w:rPr>
          <w:rtl w:val="0"/>
        </w:rPr>
        <w:t xml:space="preserve">20. Cooperatieve Rabobank U.A.</w:t>
      </w:r>
    </w:p>
    <w:p w:rsidR="00000000" w:rsidDel="00000000" w:rsidP="00000000" w:rsidRDefault="00000000" w:rsidRPr="00000000" w14:paraId="0000001A">
      <w:pPr>
        <w:rPr/>
      </w:pPr>
      <w:r w:rsidDel="00000000" w:rsidR="00000000" w:rsidRPr="00000000">
        <w:rPr>
          <w:rtl w:val="0"/>
        </w:rPr>
        <w:t xml:space="preserve">21. Credit Agricole S.A.</w:t>
      </w:r>
    </w:p>
    <w:p w:rsidR="00000000" w:rsidDel="00000000" w:rsidP="00000000" w:rsidRDefault="00000000" w:rsidRPr="00000000" w14:paraId="0000001B">
      <w:pPr>
        <w:rPr/>
      </w:pPr>
      <w:r w:rsidDel="00000000" w:rsidR="00000000" w:rsidRPr="00000000">
        <w:rPr>
          <w:rtl w:val="0"/>
        </w:rPr>
        <w:t xml:space="preserve">22. The Desjardins Group</w:t>
      </w:r>
    </w:p>
    <w:p w:rsidR="00000000" w:rsidDel="00000000" w:rsidP="00000000" w:rsidRDefault="00000000" w:rsidRPr="00000000" w14:paraId="0000001C">
      <w:pPr>
        <w:rPr/>
      </w:pPr>
      <w:r w:rsidDel="00000000" w:rsidR="00000000" w:rsidRPr="00000000">
        <w:rPr>
          <w:rtl w:val="0"/>
        </w:rPr>
        <w:t xml:space="preserve">23. DNB Bank ASA</w:t>
      </w:r>
    </w:p>
    <w:p w:rsidR="00000000" w:rsidDel="00000000" w:rsidP="00000000" w:rsidRDefault="00000000" w:rsidRPr="00000000" w14:paraId="0000001D">
      <w:pPr>
        <w:rPr/>
      </w:pPr>
      <w:r w:rsidDel="00000000" w:rsidR="00000000" w:rsidRPr="00000000">
        <w:rPr>
          <w:rtl w:val="0"/>
        </w:rPr>
        <w:t xml:space="preserve">24. DZ Bank AG Deutsche Zentral-Genossenschaftsbank</w:t>
      </w:r>
    </w:p>
    <w:p w:rsidR="00000000" w:rsidDel="00000000" w:rsidP="00000000" w:rsidRDefault="00000000" w:rsidRPr="00000000" w14:paraId="0000001E">
      <w:pPr>
        <w:rPr/>
      </w:pPr>
      <w:r w:rsidDel="00000000" w:rsidR="00000000" w:rsidRPr="00000000">
        <w:rPr>
          <w:rtl w:val="0"/>
        </w:rPr>
        <w:t xml:space="preserve">25. Erste Group Bank AG</w:t>
      </w:r>
    </w:p>
    <w:p w:rsidR="00000000" w:rsidDel="00000000" w:rsidP="00000000" w:rsidRDefault="00000000" w:rsidRPr="00000000" w14:paraId="0000001F">
      <w:pPr>
        <w:rPr/>
      </w:pPr>
      <w:r w:rsidDel="00000000" w:rsidR="00000000" w:rsidRPr="00000000">
        <w:rPr>
          <w:rtl w:val="0"/>
        </w:rPr>
        <w:t xml:space="preserve">26. First Abu Dhabi Bank PJSC</w:t>
      </w:r>
    </w:p>
    <w:p w:rsidR="00000000" w:rsidDel="00000000" w:rsidP="00000000" w:rsidRDefault="00000000" w:rsidRPr="00000000" w14:paraId="00000020">
      <w:pPr>
        <w:rPr/>
      </w:pPr>
      <w:r w:rsidDel="00000000" w:rsidR="00000000" w:rsidRPr="00000000">
        <w:rPr>
          <w:rtl w:val="0"/>
        </w:rPr>
        <w:t xml:space="preserve">27. Hana Financial Group Inc.</w:t>
      </w:r>
    </w:p>
    <w:p w:rsidR="00000000" w:rsidDel="00000000" w:rsidP="00000000" w:rsidRDefault="00000000" w:rsidRPr="00000000" w14:paraId="00000021">
      <w:pPr>
        <w:rPr/>
      </w:pPr>
      <w:r w:rsidDel="00000000" w:rsidR="00000000" w:rsidRPr="00000000">
        <w:rPr>
          <w:rtl w:val="0"/>
        </w:rPr>
        <w:t xml:space="preserve">28. Industrial and Commercial Bank of China Limited</w:t>
      </w:r>
    </w:p>
    <w:p w:rsidR="00000000" w:rsidDel="00000000" w:rsidP="00000000" w:rsidRDefault="00000000" w:rsidRPr="00000000" w14:paraId="00000022">
      <w:pPr>
        <w:rPr/>
      </w:pPr>
      <w:r w:rsidDel="00000000" w:rsidR="00000000" w:rsidRPr="00000000">
        <w:rPr>
          <w:rtl w:val="0"/>
        </w:rPr>
        <w:t xml:space="preserve">29. Industrial Bank of Korea</w:t>
      </w:r>
    </w:p>
    <w:p w:rsidR="00000000" w:rsidDel="00000000" w:rsidP="00000000" w:rsidRDefault="00000000" w:rsidRPr="00000000" w14:paraId="00000023">
      <w:pPr>
        <w:rPr/>
      </w:pPr>
      <w:r w:rsidDel="00000000" w:rsidR="00000000" w:rsidRPr="00000000">
        <w:rPr>
          <w:rtl w:val="0"/>
        </w:rPr>
        <w:t xml:space="preserve">30. Intesa Sanpaolo S.p.A.</w:t>
      </w:r>
    </w:p>
    <w:p w:rsidR="00000000" w:rsidDel="00000000" w:rsidP="00000000" w:rsidRDefault="00000000" w:rsidRPr="00000000" w14:paraId="00000024">
      <w:pPr>
        <w:rPr/>
      </w:pPr>
      <w:r w:rsidDel="00000000" w:rsidR="00000000" w:rsidRPr="00000000">
        <w:rPr>
          <w:rtl w:val="0"/>
        </w:rPr>
        <w:t xml:space="preserve">31. Itau Unibanco Holding S.A.</w:t>
      </w:r>
    </w:p>
    <w:p w:rsidR="00000000" w:rsidDel="00000000" w:rsidP="00000000" w:rsidRDefault="00000000" w:rsidRPr="00000000" w14:paraId="00000025">
      <w:pPr>
        <w:rPr/>
      </w:pPr>
      <w:r w:rsidDel="00000000" w:rsidR="00000000" w:rsidRPr="00000000">
        <w:rPr>
          <w:rtl w:val="0"/>
        </w:rPr>
        <w:t xml:space="preserve">32. KB Financial Group Inc.</w:t>
      </w:r>
    </w:p>
    <w:p w:rsidR="00000000" w:rsidDel="00000000" w:rsidP="00000000" w:rsidRDefault="00000000" w:rsidRPr="00000000" w14:paraId="00000026">
      <w:pPr>
        <w:rPr/>
      </w:pPr>
      <w:r w:rsidDel="00000000" w:rsidR="00000000" w:rsidRPr="00000000">
        <w:rPr>
          <w:rtl w:val="0"/>
        </w:rPr>
        <w:t xml:space="preserve">33. KBC Bank NV</w:t>
      </w:r>
    </w:p>
    <w:p w:rsidR="00000000" w:rsidDel="00000000" w:rsidP="00000000" w:rsidRDefault="00000000" w:rsidRPr="00000000" w14:paraId="00000027">
      <w:pPr>
        <w:rPr/>
      </w:pPr>
      <w:r w:rsidDel="00000000" w:rsidR="00000000" w:rsidRPr="00000000">
        <w:rPr>
          <w:rtl w:val="0"/>
        </w:rPr>
        <w:t xml:space="preserve">34. The Korea Development Bank</w:t>
      </w:r>
    </w:p>
    <w:p w:rsidR="00000000" w:rsidDel="00000000" w:rsidP="00000000" w:rsidRDefault="00000000" w:rsidRPr="00000000" w14:paraId="00000028">
      <w:pPr>
        <w:rPr/>
      </w:pPr>
      <w:r w:rsidDel="00000000" w:rsidR="00000000" w:rsidRPr="00000000">
        <w:rPr>
          <w:rtl w:val="0"/>
        </w:rPr>
        <w:t xml:space="preserve">35. Landesbank Baden-Weurttemberg</w:t>
      </w:r>
    </w:p>
    <w:p w:rsidR="00000000" w:rsidDel="00000000" w:rsidP="00000000" w:rsidRDefault="00000000" w:rsidRPr="00000000" w14:paraId="00000029">
      <w:pPr>
        <w:rPr/>
      </w:pPr>
      <w:r w:rsidDel="00000000" w:rsidR="00000000" w:rsidRPr="00000000">
        <w:rPr>
          <w:rtl w:val="0"/>
        </w:rPr>
        <w:t xml:space="preserve">36. Landesbank Hessen-Thuringen Girozentrale</w:t>
      </w:r>
    </w:p>
    <w:p w:rsidR="00000000" w:rsidDel="00000000" w:rsidP="00000000" w:rsidRDefault="00000000" w:rsidRPr="00000000" w14:paraId="0000002A">
      <w:pPr>
        <w:rPr/>
      </w:pPr>
      <w:r w:rsidDel="00000000" w:rsidR="00000000" w:rsidRPr="00000000">
        <w:rPr>
          <w:rtl w:val="0"/>
        </w:rPr>
        <w:t xml:space="preserve">37. Lloyds Banking Group plc</w:t>
      </w:r>
    </w:p>
    <w:p w:rsidR="00000000" w:rsidDel="00000000" w:rsidP="00000000" w:rsidRDefault="00000000" w:rsidRPr="00000000" w14:paraId="0000002B">
      <w:pPr>
        <w:rPr/>
      </w:pPr>
      <w:r w:rsidDel="00000000" w:rsidR="00000000" w:rsidRPr="00000000">
        <w:rPr>
          <w:rtl w:val="0"/>
        </w:rPr>
        <w:t xml:space="preserve">38. National Agricultural Cooperative Federation</w:t>
      </w:r>
    </w:p>
    <w:p w:rsidR="00000000" w:rsidDel="00000000" w:rsidP="00000000" w:rsidRDefault="00000000" w:rsidRPr="00000000" w14:paraId="0000002C">
      <w:pPr>
        <w:rPr/>
      </w:pPr>
      <w:r w:rsidDel="00000000" w:rsidR="00000000" w:rsidRPr="00000000">
        <w:rPr>
          <w:rtl w:val="0"/>
        </w:rPr>
        <w:t xml:space="preserve">39. National Australia Bank Limited</w:t>
      </w:r>
    </w:p>
    <w:p w:rsidR="00000000" w:rsidDel="00000000" w:rsidP="00000000" w:rsidRDefault="00000000" w:rsidRPr="00000000" w14:paraId="0000002D">
      <w:pPr>
        <w:rPr/>
      </w:pPr>
      <w:r w:rsidDel="00000000" w:rsidR="00000000" w:rsidRPr="00000000">
        <w:rPr>
          <w:rtl w:val="0"/>
        </w:rPr>
        <w:t xml:space="preserve">40. National Bank of Canada</w:t>
      </w:r>
    </w:p>
    <w:p w:rsidR="00000000" w:rsidDel="00000000" w:rsidP="00000000" w:rsidRDefault="00000000" w:rsidRPr="00000000" w14:paraId="0000002E">
      <w:pPr>
        <w:rPr/>
      </w:pPr>
      <w:r w:rsidDel="00000000" w:rsidR="00000000" w:rsidRPr="00000000">
        <w:rPr>
          <w:rtl w:val="0"/>
        </w:rPr>
        <w:t xml:space="preserve">41. Nordea Bank ABP</w:t>
      </w:r>
    </w:p>
    <w:p w:rsidR="00000000" w:rsidDel="00000000" w:rsidP="00000000" w:rsidRDefault="00000000" w:rsidRPr="00000000" w14:paraId="0000002F">
      <w:pPr>
        <w:rPr/>
      </w:pPr>
      <w:r w:rsidDel="00000000" w:rsidR="00000000" w:rsidRPr="00000000">
        <w:rPr>
          <w:rtl w:val="0"/>
        </w:rPr>
        <w:t xml:space="preserve">42. The Norinchukin Bank</w:t>
      </w:r>
    </w:p>
    <w:p w:rsidR="00000000" w:rsidDel="00000000" w:rsidP="00000000" w:rsidRDefault="00000000" w:rsidRPr="00000000" w14:paraId="00000030">
      <w:pPr>
        <w:rPr/>
      </w:pPr>
      <w:r w:rsidDel="00000000" w:rsidR="00000000" w:rsidRPr="00000000">
        <w:rPr>
          <w:rtl w:val="0"/>
        </w:rPr>
        <w:t xml:space="preserve">43. Over44. Shinhan Financial Group Co., Ltd.</w:t>
      </w:r>
    </w:p>
    <w:p w:rsidR="00000000" w:rsidDel="00000000" w:rsidP="00000000" w:rsidRDefault="00000000" w:rsidRPr="00000000" w14:paraId="00000031">
      <w:pPr>
        <w:rPr/>
      </w:pPr>
      <w:r w:rsidDel="00000000" w:rsidR="00000000" w:rsidRPr="00000000">
        <w:rPr>
          <w:rtl w:val="0"/>
        </w:rPr>
        <w:t xml:space="preserve">45. Skandinaviska Enskilda Banken AB (PUBL)</w:t>
      </w:r>
    </w:p>
    <w:p w:rsidR="00000000" w:rsidDel="00000000" w:rsidP="00000000" w:rsidRDefault="00000000" w:rsidRPr="00000000" w14:paraId="00000032">
      <w:pPr>
        <w:rPr/>
      </w:pPr>
      <w:r w:rsidDel="00000000" w:rsidR="00000000" w:rsidRPr="00000000">
        <w:rPr>
          <w:rtl w:val="0"/>
        </w:rPr>
        <w:t xml:space="preserve">46. Societe Generale</w:t>
      </w:r>
    </w:p>
    <w:p w:rsidR="00000000" w:rsidDel="00000000" w:rsidP="00000000" w:rsidRDefault="00000000" w:rsidRPr="00000000" w14:paraId="00000033">
      <w:pPr>
        <w:rPr/>
      </w:pPr>
      <w:r w:rsidDel="00000000" w:rsidR="00000000" w:rsidRPr="00000000">
        <w:rPr>
          <w:rtl w:val="0"/>
        </w:rPr>
        <w:t xml:space="preserve">47. Standard Chartered plc</w:t>
      </w:r>
    </w:p>
    <w:p w:rsidR="00000000" w:rsidDel="00000000" w:rsidP="00000000" w:rsidRDefault="00000000" w:rsidRPr="00000000" w14:paraId="00000034">
      <w:pPr>
        <w:rPr/>
      </w:pPr>
      <w:r w:rsidDel="00000000" w:rsidR="00000000" w:rsidRPr="00000000">
        <w:rPr>
          <w:rtl w:val="0"/>
        </w:rPr>
        <w:t xml:space="preserve">48. State Bank of India</w:t>
      </w:r>
    </w:p>
    <w:p w:rsidR="00000000" w:rsidDel="00000000" w:rsidP="00000000" w:rsidRDefault="00000000" w:rsidRPr="00000000" w14:paraId="00000035">
      <w:pPr>
        <w:rPr/>
      </w:pPr>
      <w:r w:rsidDel="00000000" w:rsidR="00000000" w:rsidRPr="00000000">
        <w:rPr>
          <w:rtl w:val="0"/>
        </w:rPr>
        <w:t xml:space="preserve">49. Sumitomo Mitsui Trust Holdings, Inc.</w:t>
      </w:r>
    </w:p>
    <w:p w:rsidR="00000000" w:rsidDel="00000000" w:rsidP="00000000" w:rsidRDefault="00000000" w:rsidRPr="00000000" w14:paraId="00000036">
      <w:pPr>
        <w:rPr/>
      </w:pPr>
      <w:r w:rsidDel="00000000" w:rsidR="00000000" w:rsidRPr="00000000">
        <w:rPr>
          <w:rtl w:val="0"/>
        </w:rPr>
        <w:t xml:space="preserve">50. Svenska Handelsbanken AB (PUBL)</w:t>
      </w:r>
    </w:p>
    <w:p w:rsidR="00000000" w:rsidDel="00000000" w:rsidP="00000000" w:rsidRDefault="00000000" w:rsidRPr="00000000" w14:paraId="00000037">
      <w:pPr>
        <w:rPr/>
      </w:pPr>
      <w:r w:rsidDel="00000000" w:rsidR="00000000" w:rsidRPr="00000000">
        <w:rPr>
          <w:rtl w:val="0"/>
        </w:rPr>
        <w:t xml:space="preserve">51. Swedbank AB</w:t>
      </w:r>
    </w:p>
    <w:p w:rsidR="00000000" w:rsidDel="00000000" w:rsidP="00000000" w:rsidRDefault="00000000" w:rsidRPr="00000000" w14:paraId="00000038">
      <w:pPr>
        <w:rPr/>
      </w:pPr>
      <w:r w:rsidDel="00000000" w:rsidR="00000000" w:rsidRPr="00000000">
        <w:rPr>
          <w:rtl w:val="0"/>
        </w:rPr>
        <w:t xml:space="preserve">52. UniCredit S.p.A.</w:t>
      </w:r>
    </w:p>
    <w:p w:rsidR="00000000" w:rsidDel="00000000" w:rsidP="00000000" w:rsidRDefault="00000000" w:rsidRPr="00000000" w14:paraId="00000039">
      <w:pPr>
        <w:rPr/>
      </w:pPr>
      <w:r w:rsidDel="00000000" w:rsidR="00000000" w:rsidRPr="00000000">
        <w:rPr>
          <w:rtl w:val="0"/>
        </w:rPr>
        <w:t xml:space="preserve">53. United Overseas Bank Limited</w:t>
      </w:r>
    </w:p>
    <w:p w:rsidR="00000000" w:rsidDel="00000000" w:rsidP="00000000" w:rsidRDefault="00000000" w:rsidRPr="00000000" w14:paraId="0000003A">
      <w:pPr>
        <w:rPr/>
      </w:pPr>
      <w:r w:rsidDel="00000000" w:rsidR="00000000" w:rsidRPr="00000000">
        <w:rPr>
          <w:rtl w:val="0"/>
        </w:rPr>
        <w:t xml:space="preserve">54. Westpac Banking Corporation</w:t>
      </w:r>
    </w:p>
    <w:p w:rsidR="00000000" w:rsidDel="00000000" w:rsidP="00000000" w:rsidRDefault="00000000" w:rsidRPr="00000000" w14:paraId="0000003B">
      <w:pPr>
        <w:rPr/>
      </w:pPr>
      <w:r w:rsidDel="00000000" w:rsidR="00000000" w:rsidRPr="00000000">
        <w:rPr>
          <w:rtl w:val="0"/>
        </w:rPr>
        <w:t xml:space="preserve">55. Woori Financial Group Inc.sea-Chinese Banking Corporation Limited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