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30289" w:type="dxa"/>
        <w:tblInd w:w="0" w:type="dxa"/>
        <w:shd w:val="clear" w:color="auto" w:fill="auto"/>
        <w:tblLayout w:type="autofit"/>
        <w:tblCellMar>
          <w:top w:w="0" w:type="dxa"/>
          <w:left w:w="0" w:type="dxa"/>
          <w:bottom w:w="0" w:type="dxa"/>
          <w:right w:w="0" w:type="dxa"/>
        </w:tblCellMar>
      </w:tblPr>
      <w:tblGrid>
        <w:gridCol w:w="960"/>
        <w:gridCol w:w="1308"/>
        <w:gridCol w:w="2389"/>
        <w:gridCol w:w="894"/>
        <w:gridCol w:w="1416"/>
        <w:gridCol w:w="988"/>
        <w:gridCol w:w="1992"/>
        <w:gridCol w:w="894"/>
        <w:gridCol w:w="988"/>
        <w:gridCol w:w="894"/>
        <w:gridCol w:w="1124"/>
        <w:gridCol w:w="1124"/>
        <w:gridCol w:w="1124"/>
        <w:gridCol w:w="1124"/>
        <w:gridCol w:w="1124"/>
        <w:gridCol w:w="1124"/>
        <w:gridCol w:w="894"/>
        <w:gridCol w:w="894"/>
        <w:gridCol w:w="894"/>
        <w:gridCol w:w="894"/>
        <w:gridCol w:w="894"/>
        <w:gridCol w:w="894"/>
        <w:gridCol w:w="894"/>
        <w:gridCol w:w="894"/>
        <w:gridCol w:w="988"/>
        <w:gridCol w:w="894"/>
        <w:gridCol w:w="894"/>
        <w:gridCol w:w="894"/>
      </w:tblGrid>
      <w:tr>
        <w:tblPrEx>
          <w:tblCellMar>
            <w:top w:w="0" w:type="dxa"/>
            <w:left w:w="0" w:type="dxa"/>
            <w:bottom w:w="0" w:type="dxa"/>
            <w:right w:w="0" w:type="dxa"/>
          </w:tblCellMar>
        </w:tblPrEx>
        <w:trPr>
          <w:trHeight w:val="4260" w:hRule="atLeast"/>
        </w:trPr>
        <w:tc>
          <w:tcPr>
            <w:tcW w:w="960" w:type="dxa"/>
            <w:tcBorders>
              <w:top w:val="nil"/>
              <w:left w:val="nil"/>
              <w:bottom w:val="nil"/>
              <w:right w:val="nil"/>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130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证券代码</w:t>
            </w:r>
          </w:p>
        </w:tc>
        <w:tc>
          <w:tcPr>
            <w:tcW w:w="211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证券简称</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成立年限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年</w:t>
            </w:r>
          </w:p>
        </w:tc>
        <w:tc>
          <w:tcPr>
            <w:tcW w:w="141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基金成立日</w:t>
            </w:r>
          </w:p>
        </w:tc>
        <w:tc>
          <w:tcPr>
            <w:tcW w:w="104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基金规模(合计)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[交易日期] 最新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亿元</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投资类型(二级分类)</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今年以来回报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[是否年化] 否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[交易日期] 最新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104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近1年回报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[是否年化] 否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[交易日期] 最新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同类基金区间收益排名(百分比)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[起始交易日期] 截止日1年前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[截止交易日期] 最新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[基金分类] 投资类型(二级分类)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年化收益率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[起始交易日期] 2016-02-01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[截止交易日期] 最新收盘日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[计算周期] 周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[收益率计算方法] 普通收益率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1044" w:type="dxa"/>
            <w:tcBorders>
              <w:top w:val="single" w:color="000000" w:sz="4" w:space="0"/>
              <w:left w:val="single" w:color="000000" w:sz="4" w:space="0"/>
              <w:bottom w:val="single" w:color="000000" w:sz="4" w:space="0"/>
              <w:right w:val="single" w:color="000000" w:sz="4" w:space="0"/>
            </w:tcBorders>
            <w:shd w:val="clear" w:color="auto" w:fill="FFE699"/>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最大回撤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[起始交易日期] 2016-02-01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[截止交易日期] 最新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1044" w:type="dxa"/>
            <w:tcBorders>
              <w:top w:val="single" w:color="000000" w:sz="4" w:space="0"/>
              <w:left w:val="single" w:color="000000" w:sz="4" w:space="0"/>
              <w:bottom w:val="single" w:color="000000" w:sz="4" w:space="0"/>
              <w:right w:val="single" w:color="000000" w:sz="4" w:space="0"/>
            </w:tcBorders>
            <w:shd w:val="clear" w:color="auto" w:fill="FFE699"/>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最大回撤同类平均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[起始交易日期] 2016-02-01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[截止交易日期] 最新收盘日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[基金分类] 投资类型(二级分类)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FFE699"/>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Calmar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[起始交易日期] 2016-02-01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[截止交易日期] 最新</w:t>
            </w:r>
          </w:p>
        </w:tc>
        <w:tc>
          <w:tcPr>
            <w:tcW w:w="960" w:type="dxa"/>
            <w:tcBorders>
              <w:top w:val="single" w:color="000000" w:sz="4" w:space="0"/>
              <w:left w:val="single" w:color="000000" w:sz="4" w:space="0"/>
              <w:bottom w:val="single" w:color="000000" w:sz="4" w:space="0"/>
              <w:right w:val="single" w:color="000000" w:sz="4" w:space="0"/>
            </w:tcBorders>
            <w:shd w:val="clear" w:color="auto" w:fill="FFE699"/>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Sharpe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[起始交易日期] 2016-02-01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[截止交易日期] 最新收盘日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[计算周期] 周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[收益率计算方法] 普通收益率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[无风险收益率] 一年定存利率（税前）</w:t>
            </w:r>
          </w:p>
        </w:tc>
        <w:tc>
          <w:tcPr>
            <w:tcW w:w="960" w:type="dxa"/>
            <w:tcBorders>
              <w:top w:val="single" w:color="000000" w:sz="4" w:space="0"/>
              <w:left w:val="single" w:color="000000" w:sz="4" w:space="0"/>
              <w:bottom w:val="single" w:color="000000" w:sz="4" w:space="0"/>
              <w:right w:val="single" w:color="000000" w:sz="4" w:space="0"/>
            </w:tcBorders>
            <w:shd w:val="clear" w:color="auto" w:fill="FFE699"/>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Sharpe同类平均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[起始交易日期] 2016-02-01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[截止交易日期] 最新收盘日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[计算周期] 周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[收益率计算方法] 普通收益率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[无风险收益率] 一年定存利率（税前）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[基金分类] 投资类型(二级分类)</w:t>
            </w:r>
          </w:p>
        </w:tc>
        <w:tc>
          <w:tcPr>
            <w:tcW w:w="960" w:type="dxa"/>
            <w:tcBorders>
              <w:top w:val="single" w:color="000000" w:sz="4" w:space="0"/>
              <w:left w:val="single" w:color="000000" w:sz="4" w:space="0"/>
              <w:bottom w:val="single" w:color="000000" w:sz="4" w:space="0"/>
              <w:right w:val="single" w:color="000000" w:sz="4" w:space="0"/>
            </w:tcBorders>
            <w:shd w:val="clear" w:color="auto" w:fill="E2EFDA"/>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股票市值占基金资产净值比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2018中报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E2EFDA"/>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股票市值占基金资产净值比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2018年报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E2EFDA"/>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股票市值占基金资产净值比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2019中报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E2EFDA"/>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股票市值占基金资产净值比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2019年报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E2EFDA"/>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股票市值占基金资产净值比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2020中报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E2EFDA"/>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股票市值占基金资产净值比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2020年报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前N名重仓股票市值合计占股票投资市值比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2018中报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[名次] 10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前N名重仓股票市值合计占股票投资市值比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2018年报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[名次] 10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104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前N名重仓股票市值合计占股票投资市值比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2019中报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[名次] 10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前N名重仓股票市值合计占股票投资市值比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2019年报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[名次] 10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前N名重仓股票市值合计占股票投资市值比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2020中报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[名次] 10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前N名重仓股票市值合计占股票投资市值比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[报告期] 2020年报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[名次] 10 </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 %</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FFFF00"/>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001236.OF</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博时丝路主题A</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5.7205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2015-05-22</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8.1940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普通股票型基金</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9.9701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91.9930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16.1765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30.0491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-27.5461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-34.8309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0.9675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0.1674</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0.1328</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83.5796</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84.8288</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86.3826</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90.8481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91.1291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88.3833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52.5260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48.0527</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57.5950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49.2149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62.0524</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57.0710</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FFFF00"/>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001938.OF</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中欧时代先锋A</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5.2685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2015-11-03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197.3672</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普通股票型基金</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10.5501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65.7573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43.1373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40.1937</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-21.7914</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-34.8309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1.6528</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0.2081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0.1328</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91.1617</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93.1106</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88.8904</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91.0704</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90.5162</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91.3870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45.2699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50.9907</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46.2715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49.4239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37.7366</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60.6356</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FFFF00"/>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001714.OF</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工银瑞信文体产业A</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5.1123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2015-12-30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135.8736</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普通股票型基金</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7.1925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81.1542</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25.4902</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35.7121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-20.4315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-34.8309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1.5885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0.2140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0.1328</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83.2615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80.0821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87.5232</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82.7300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92.6183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93.0224</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39.4027</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38.2287</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41.3860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34.9153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33.2023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39.9046</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FFFF00"/>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000751.OF</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嘉实新兴产业</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6.3973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2014-09-17</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147.0275</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普通股票型基金</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6.2674</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67.6712</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39.7059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38.2311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-27.5519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-34.8309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1.2481</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0.2074</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0.1328</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88.2759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80.8323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92.2808</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92.6098</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92.0859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95.4947</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67.4587</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70.8423</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67.1518</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46.3992</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48.0950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57.9554</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001054.OF</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工银瑞信新金融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5.8959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2015-03-19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17.7388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普通股票型基金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9.4686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115.2318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3.4314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33.7364</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-28.5593</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-34.8309</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1.0641</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0.1956</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84.7213</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81.1228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83.5838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91.5798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89.0398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90.5484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56.7538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53.8461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57.0446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49.1029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47.0384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48.7498</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110022.OF</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易方达消费行业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10.4767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2010-08-20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347.0967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普通股票型基金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8.1911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101.0571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10.0490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43.7053</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-33.1643</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-34.8309</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1.1858</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0.2237</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87.6000</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84.9398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89.5587</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85.5145</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86.8351</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88.1657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74.2755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73.8139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84.0405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89.2965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90.2727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80.1098</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000991.OF</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工银瑞信战略转型主题A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5.9808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2015-02-16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57.9496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普通股票型基金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4.5869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99.5655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11.0294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36.6631</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-31.9572</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-34.8309</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1.0317</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0.2023</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87.8100</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91.3635</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89.5602</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90.4019</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92.2682</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91.2673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40.6989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39.0116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34.4384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40.3066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41.9760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51.4089</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001186.OF</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富国文体健康A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5.7644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2015-05-06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18.4027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普通股票型基金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8.4507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87.9528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19.6078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32.8317</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-29.4964</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-34.8309</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0.9964</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0.1856</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91.3947</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82.7612</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83.5990</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85.1122</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93.2346</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86.0289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66.2166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70.7146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66.2961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50.7537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57.7851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65.0248</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9BC2E6"/>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006752.OF</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天弘港股通精选A</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1.7808</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2019-04-29</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3.7148</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灵活配置型基金</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13.8933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51.6723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35.9449</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-24.6070</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0.2032</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20.4839</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92.8218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92.4712</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92.0995</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100.0000</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65.6421</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63.4012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87.0602</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9BC2E6"/>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001030.OF</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天弘云端生活优选</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5.9014</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2015-03-17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2.4772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灵活配置型基金</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11.4463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88.7561</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6.1938</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24.5264</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-30.8793</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-22.9032</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0.7012</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0.1462</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0.1381</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93.8357</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67.3823</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85.2937</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86.9316</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87.4896</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91.8503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61.1355</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62.9337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64.1645</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71.9603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72.6985</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75.2946</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9BC2E6"/>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420003.OF</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天弘永定成长</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12.1918</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2008-12-02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8.2043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偏股混合型基金</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10.9784</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79.9658</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21.5686</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27.7719</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-35.8624</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-33.2254</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0.6860</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0.1599</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0.1241</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92.1163</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94.0101</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92.0576</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82.8035</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91.0164</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89.2206</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69.1951</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71.6772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75.9351</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67.8236</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56.4698</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61.5989</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9BC2E6"/>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001558.OF</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天弘医疗健康A</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5.6137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2015-06-30</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14.1129</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偏股混合型基金</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9.4972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86.0551</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14.9020</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33.3932</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-35.9373</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-33.2254</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0.8121</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0.1658</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0.1241</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83.0981</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84.9305</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88.3900</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85.1882</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83.6185</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94.0143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47.0793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58.9157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50.6290</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59.1117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55.0746</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66.8145</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9BC2E6"/>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420005.OF</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天弘周期策略</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11.1507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2009-12-17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2.5682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偏股混合型基金</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8.8976</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63.6660</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44.1176</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19.7209</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-33.6386</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-33.2254</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0.4868</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0.1025</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0.1241</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86.9471</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76.1076</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87.1919</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91.9914</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92.5749</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86.6267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68.3275</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66.8723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72.1975</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68.6187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61.2463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58.0958</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9BC2E6"/>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420001.OF</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天弘精选</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15.3452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2005-10-08</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9.3557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灵活配置型基金</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7.3892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50.6853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36.7920</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17.2000</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-27.0215</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-22.9032</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0.5610</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0.1182</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0.1381</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81.6819</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65.6950</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78.6804</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78.9318</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79.0069</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80.5335</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53.8522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50.2238</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64.2039</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44.2503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42.3697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46.1947</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9BC2E6"/>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164205.OF</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天弘文化新兴产业</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3.5014</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2017-08-09</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6.6100</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普通股票型基金</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6.3389</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56.3562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56.8627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-28.8707</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0.1594</w:t>
            </w: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tcMar>
              <w:top w:w="12" w:type="dxa"/>
              <w:left w:w="12" w:type="dxa"/>
              <w:right w:w="12" w:type="dxa"/>
            </w:tcMar>
            <w:vAlign w:val="top"/>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86.9934</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80.4929</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82.4530</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93.1293</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96.0477</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94.8544</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47.5402</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64.8656</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80.1944</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76.6409</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80.1197</w:t>
            </w: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top"/>
          </w:tcPr>
          <w:p>
            <w:pPr>
              <w:keepNext w:val="0"/>
              <w:keepLines w:val="0"/>
              <w:widowControl/>
              <w:suppressLineNumbers w:val="0"/>
              <w:jc w:val="righ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86.5403</w:t>
            </w:r>
          </w:p>
        </w:tc>
      </w:tr>
    </w:tbl>
    <w:p/>
    <w:tbl>
      <w:tblPr>
        <w:tblW w:w="20077" w:type="dxa"/>
        <w:tblInd w:w="0" w:type="dxa"/>
        <w:shd w:val="clear"/>
        <w:tblLayout w:type="autofit"/>
        <w:tblCellMar>
          <w:top w:w="0" w:type="dxa"/>
          <w:left w:w="0" w:type="dxa"/>
          <w:bottom w:w="0" w:type="dxa"/>
          <w:right w:w="0" w:type="dxa"/>
        </w:tblCellMar>
      </w:tblPr>
      <w:tblGrid>
        <w:gridCol w:w="660"/>
        <w:gridCol w:w="1068"/>
        <w:gridCol w:w="1068"/>
        <w:gridCol w:w="1068"/>
        <w:gridCol w:w="1068"/>
        <w:gridCol w:w="1068"/>
        <w:gridCol w:w="1068"/>
        <w:gridCol w:w="1068"/>
        <w:gridCol w:w="1068"/>
        <w:gridCol w:w="1068"/>
        <w:gridCol w:w="1068"/>
        <w:gridCol w:w="1068"/>
        <w:gridCol w:w="1188"/>
        <w:gridCol w:w="1356"/>
        <w:gridCol w:w="1068"/>
        <w:gridCol w:w="1068"/>
        <w:gridCol w:w="960"/>
        <w:gridCol w:w="960"/>
        <w:gridCol w:w="1069"/>
      </w:tblGrid>
      <w:tr>
        <w:tblPrEx>
          <w:tblCellMar>
            <w:top w:w="0" w:type="dxa"/>
            <w:left w:w="0" w:type="dxa"/>
            <w:bottom w:w="0" w:type="dxa"/>
            <w:right w:w="0" w:type="dxa"/>
          </w:tblCellMar>
        </w:tblPrEx>
        <w:trPr>
          <w:trHeight w:val="840" w:hRule="atLeast"/>
        </w:trPr>
        <w:tc>
          <w:tcPr>
            <w:tcW w:w="660"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left"/>
              <w:textAlignment w:val="center"/>
              <w:rPr>
                <w:rFonts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年份</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普通股票型基金</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沪深300</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博时丝路主题A</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同类排名</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中欧时代先锋A</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同类排名</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工银瑞信文体产业A</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同类排名</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嘉实新兴产业</w:t>
            </w:r>
          </w:p>
        </w:tc>
        <w:tc>
          <w:tcPr>
            <w:tcW w:w="1068" w:type="dxa"/>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同类排名</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333333"/>
                <w:sz w:val="22"/>
                <w:szCs w:val="22"/>
                <w:u w:val="none"/>
              </w:rPr>
            </w:pPr>
            <w:r>
              <w:rPr>
                <w:rFonts w:hint="eastAsia" w:ascii="宋体" w:hAnsi="宋体" w:eastAsia="宋体" w:cs="宋体"/>
                <w:i w:val="0"/>
                <w:color w:val="333333"/>
                <w:kern w:val="0"/>
                <w:sz w:val="22"/>
                <w:szCs w:val="22"/>
                <w:u w:val="none"/>
                <w:bdr w:val="none" w:color="auto" w:sz="0" w:space="0"/>
                <w:lang w:val="en-US" w:eastAsia="zh-CN" w:bidi="ar"/>
              </w:rPr>
              <w:t>天弘云端生活优选</w:t>
            </w:r>
          </w:p>
        </w:tc>
        <w:tc>
          <w:tcPr>
            <w:tcW w:w="118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333333"/>
                <w:sz w:val="22"/>
                <w:szCs w:val="22"/>
                <w:u w:val="none"/>
              </w:rPr>
            </w:pPr>
            <w:r>
              <w:rPr>
                <w:rFonts w:hint="eastAsia" w:ascii="宋体" w:hAnsi="宋体" w:eastAsia="宋体" w:cs="宋体"/>
                <w:i w:val="0"/>
                <w:color w:val="333333"/>
                <w:kern w:val="0"/>
                <w:sz w:val="22"/>
                <w:szCs w:val="22"/>
                <w:u w:val="none"/>
                <w:bdr w:val="none" w:color="auto" w:sz="0" w:space="0"/>
                <w:lang w:val="en-US" w:eastAsia="zh-CN" w:bidi="ar"/>
              </w:rPr>
              <w:t>同类排名</w:t>
            </w:r>
          </w:p>
        </w:tc>
        <w:tc>
          <w:tcPr>
            <w:tcW w:w="1356"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333333"/>
                <w:sz w:val="22"/>
                <w:szCs w:val="22"/>
                <w:u w:val="none"/>
              </w:rPr>
            </w:pPr>
            <w:r>
              <w:rPr>
                <w:rFonts w:hint="eastAsia" w:ascii="宋体" w:hAnsi="宋体" w:eastAsia="宋体" w:cs="宋体"/>
                <w:i w:val="0"/>
                <w:color w:val="333333"/>
                <w:kern w:val="0"/>
                <w:sz w:val="22"/>
                <w:szCs w:val="22"/>
                <w:u w:val="none"/>
                <w:bdr w:val="none" w:color="auto" w:sz="0" w:space="0"/>
                <w:lang w:val="en-US" w:eastAsia="zh-CN" w:bidi="ar"/>
              </w:rPr>
              <w:t>灵活配置型基金</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333333"/>
                <w:sz w:val="22"/>
                <w:szCs w:val="22"/>
                <w:u w:val="none"/>
              </w:rPr>
            </w:pPr>
            <w:r>
              <w:rPr>
                <w:rFonts w:hint="eastAsia" w:ascii="宋体" w:hAnsi="宋体" w:eastAsia="宋体" w:cs="宋体"/>
                <w:i w:val="0"/>
                <w:color w:val="333333"/>
                <w:kern w:val="0"/>
                <w:sz w:val="22"/>
                <w:szCs w:val="22"/>
                <w:u w:val="none"/>
                <w:bdr w:val="none" w:color="auto" w:sz="0" w:space="0"/>
                <w:lang w:val="en-US" w:eastAsia="zh-CN" w:bidi="ar"/>
              </w:rPr>
              <w:t>天弘永定成长</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333333"/>
                <w:sz w:val="22"/>
                <w:szCs w:val="22"/>
                <w:u w:val="none"/>
              </w:rPr>
            </w:pPr>
            <w:r>
              <w:rPr>
                <w:rFonts w:hint="eastAsia" w:ascii="宋体" w:hAnsi="宋体" w:eastAsia="宋体" w:cs="宋体"/>
                <w:i w:val="0"/>
                <w:color w:val="333333"/>
                <w:kern w:val="0"/>
                <w:sz w:val="22"/>
                <w:szCs w:val="22"/>
                <w:u w:val="none"/>
                <w:bdr w:val="none" w:color="auto" w:sz="0" w:space="0"/>
                <w:lang w:val="en-US" w:eastAsia="zh-CN" w:bidi="ar"/>
              </w:rPr>
              <w:t>同类排名</w:t>
            </w:r>
          </w:p>
        </w:tc>
        <w:tc>
          <w:tcPr>
            <w:tcW w:w="960"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333333"/>
                <w:sz w:val="22"/>
                <w:szCs w:val="22"/>
                <w:u w:val="none"/>
              </w:rPr>
            </w:pPr>
            <w:r>
              <w:rPr>
                <w:rFonts w:hint="eastAsia" w:ascii="宋体" w:hAnsi="宋体" w:eastAsia="宋体" w:cs="宋体"/>
                <w:i w:val="0"/>
                <w:color w:val="333333"/>
                <w:kern w:val="0"/>
                <w:sz w:val="22"/>
                <w:szCs w:val="22"/>
                <w:u w:val="none"/>
                <w:bdr w:val="none" w:color="auto" w:sz="0" w:space="0"/>
                <w:lang w:val="en-US" w:eastAsia="zh-CN" w:bidi="ar"/>
              </w:rPr>
              <w:t>天弘周期策略</w:t>
            </w:r>
          </w:p>
        </w:tc>
        <w:tc>
          <w:tcPr>
            <w:tcW w:w="960"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333333"/>
                <w:sz w:val="22"/>
                <w:szCs w:val="22"/>
                <w:u w:val="none"/>
              </w:rPr>
            </w:pPr>
            <w:r>
              <w:rPr>
                <w:rFonts w:hint="eastAsia" w:ascii="宋体" w:hAnsi="宋体" w:eastAsia="宋体" w:cs="宋体"/>
                <w:i w:val="0"/>
                <w:color w:val="333333"/>
                <w:kern w:val="0"/>
                <w:sz w:val="22"/>
                <w:szCs w:val="22"/>
                <w:u w:val="none"/>
                <w:bdr w:val="none" w:color="auto" w:sz="0" w:space="0"/>
                <w:lang w:val="en-US" w:eastAsia="zh-CN" w:bidi="ar"/>
              </w:rPr>
              <w:t>同类排名</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333333"/>
                <w:sz w:val="22"/>
                <w:szCs w:val="22"/>
                <w:u w:val="none"/>
              </w:rPr>
            </w:pPr>
            <w:r>
              <w:rPr>
                <w:rFonts w:hint="eastAsia" w:ascii="宋体" w:hAnsi="宋体" w:eastAsia="宋体" w:cs="宋体"/>
                <w:i w:val="0"/>
                <w:color w:val="333333"/>
                <w:kern w:val="0"/>
                <w:sz w:val="22"/>
                <w:szCs w:val="22"/>
                <w:u w:val="none"/>
                <w:bdr w:val="none" w:color="auto" w:sz="0" w:space="0"/>
                <w:lang w:val="en-US" w:eastAsia="zh-CN" w:bidi="ar"/>
              </w:rPr>
              <w:t>偏股混合型基金</w:t>
            </w:r>
          </w:p>
        </w:tc>
      </w:tr>
      <w:tr>
        <w:tblPrEx>
          <w:shd w:val="clear"/>
          <w:tblCellMar>
            <w:top w:w="0" w:type="dxa"/>
            <w:left w:w="0" w:type="dxa"/>
            <w:bottom w:w="0" w:type="dxa"/>
            <w:right w:w="0" w:type="dxa"/>
          </w:tblCellMar>
        </w:tblPrEx>
        <w:trPr>
          <w:trHeight w:val="288" w:hRule="atLeast"/>
        </w:trPr>
        <w:tc>
          <w:tcPr>
            <w:tcW w:w="6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2021</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6.14</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5.22</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9.97</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126/549</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10.55</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108/549</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7.19</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233/549</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6.27</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277/549</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11.45</w:t>
            </w:r>
          </w:p>
        </w:tc>
        <w:tc>
          <w:tcPr>
            <w:tcW w:w="118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130/1998</w:t>
            </w:r>
          </w:p>
        </w:tc>
        <w:tc>
          <w:tcPr>
            <w:tcW w:w="1356"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3.78</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10.98</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261/1635</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8.9</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501/1635</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6.1</w:t>
            </w:r>
          </w:p>
        </w:tc>
      </w:tr>
      <w:tr>
        <w:tblPrEx>
          <w:tblCellMar>
            <w:top w:w="0" w:type="dxa"/>
            <w:left w:w="0" w:type="dxa"/>
            <w:bottom w:w="0" w:type="dxa"/>
            <w:right w:w="0" w:type="dxa"/>
          </w:tblCellMar>
        </w:tblPrEx>
        <w:trPr>
          <w:trHeight w:val="288" w:hRule="atLeast"/>
        </w:trPr>
        <w:tc>
          <w:tcPr>
            <w:tcW w:w="660"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2020</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59.81</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27.21</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76.58</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108/403</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56.47</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208/403</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79.06</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95/403</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76.59</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107/403</w:t>
            </w:r>
          </w:p>
        </w:tc>
        <w:tc>
          <w:tcPr>
            <w:tcW w:w="106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60.98</w:t>
            </w:r>
          </w:p>
        </w:tc>
        <w:tc>
          <w:tcPr>
            <w:tcW w:w="118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464/1887</w:t>
            </w:r>
          </w:p>
        </w:tc>
        <w:tc>
          <w:tcPr>
            <w:tcW w:w="1356"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41.22</w:t>
            </w:r>
          </w:p>
        </w:tc>
        <w:tc>
          <w:tcPr>
            <w:tcW w:w="106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64.83</w:t>
            </w:r>
          </w:p>
        </w:tc>
        <w:tc>
          <w:tcPr>
            <w:tcW w:w="106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370/986</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47.22</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678/986</w:t>
            </w:r>
          </w:p>
        </w:tc>
        <w:tc>
          <w:tcPr>
            <w:tcW w:w="106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58.33</w:t>
            </w:r>
          </w:p>
        </w:tc>
      </w:tr>
      <w:tr>
        <w:tblPrEx>
          <w:tblCellMar>
            <w:top w:w="0" w:type="dxa"/>
            <w:left w:w="0" w:type="dxa"/>
            <w:bottom w:w="0" w:type="dxa"/>
            <w:right w:w="0" w:type="dxa"/>
          </w:tblCellMar>
        </w:tblPrEx>
        <w:trPr>
          <w:trHeight w:val="288" w:hRule="atLeast"/>
        </w:trPr>
        <w:tc>
          <w:tcPr>
            <w:tcW w:w="6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2019</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47.87</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36.07</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49.08</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154/337</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65.53</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55/337</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57.6</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93/337</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76.74</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16/337</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53.24</w:t>
            </w:r>
          </w:p>
        </w:tc>
        <w:tc>
          <w:tcPr>
            <w:tcW w:w="118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249/1790</w:t>
            </w:r>
          </w:p>
        </w:tc>
        <w:tc>
          <w:tcPr>
            <w:tcW w:w="1356"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30.59</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41.68</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393/715</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41.5</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399/715</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45.1</w:t>
            </w:r>
          </w:p>
        </w:tc>
      </w:tr>
      <w:tr>
        <w:tblPrEx>
          <w:shd w:val="clear"/>
          <w:tblCellMar>
            <w:top w:w="0" w:type="dxa"/>
            <w:left w:w="0" w:type="dxa"/>
            <w:bottom w:w="0" w:type="dxa"/>
            <w:right w:w="0" w:type="dxa"/>
          </w:tblCellMar>
        </w:tblPrEx>
        <w:trPr>
          <w:trHeight w:val="288" w:hRule="atLeast"/>
        </w:trPr>
        <w:tc>
          <w:tcPr>
            <w:tcW w:w="660"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2018</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-24.46</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-25.31</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-18.24</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49/272</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-11.8</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14/272</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-10.16</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8/272</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-20.15</w:t>
            </w:r>
          </w:p>
        </w:tc>
        <w:tc>
          <w:tcPr>
            <w:tcW w:w="1068" w:type="dxa"/>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80/272</w:t>
            </w:r>
          </w:p>
        </w:tc>
        <w:tc>
          <w:tcPr>
            <w:tcW w:w="106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-25.29</w:t>
            </w:r>
          </w:p>
        </w:tc>
        <w:tc>
          <w:tcPr>
            <w:tcW w:w="118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1283/1528</w:t>
            </w:r>
          </w:p>
        </w:tc>
        <w:tc>
          <w:tcPr>
            <w:tcW w:w="1356"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-13</w:t>
            </w:r>
          </w:p>
        </w:tc>
        <w:tc>
          <w:tcPr>
            <w:tcW w:w="106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-26.46</w:t>
            </w:r>
          </w:p>
        </w:tc>
        <w:tc>
          <w:tcPr>
            <w:tcW w:w="106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369/573</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-27.09</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385/573</w:t>
            </w:r>
          </w:p>
        </w:tc>
        <w:tc>
          <w:tcPr>
            <w:tcW w:w="1068" w:type="dxa"/>
            <w:tcBorders>
              <w:top w:val="nil"/>
              <w:left w:val="nil"/>
              <w:bottom w:val="dotted" w:color="DDDDDD" w:sz="4" w:space="0"/>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-23.98</w:t>
            </w:r>
          </w:p>
        </w:tc>
      </w:tr>
      <w:tr>
        <w:tblPrEx>
          <w:shd w:val="clear"/>
          <w:tblCellMar>
            <w:top w:w="0" w:type="dxa"/>
            <w:left w:w="0" w:type="dxa"/>
            <w:bottom w:w="0" w:type="dxa"/>
            <w:right w:w="0" w:type="dxa"/>
          </w:tblCellMar>
        </w:tblPrEx>
        <w:trPr>
          <w:trHeight w:val="288" w:hRule="atLeast"/>
        </w:trPr>
        <w:tc>
          <w:tcPr>
            <w:tcW w:w="6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2017</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16.42</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21.78</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14.5</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112/200</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34.79</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22/200</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27.68</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52/200</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46.91</w:t>
            </w:r>
          </w:p>
        </w:tc>
        <w:tc>
          <w:tcPr>
            <w:tcW w:w="1068"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8/200</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12</w:t>
            </w:r>
          </w:p>
        </w:tc>
        <w:tc>
          <w:tcPr>
            <w:tcW w:w="118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350/1235</w:t>
            </w:r>
          </w:p>
        </w:tc>
        <w:tc>
          <w:tcPr>
            <w:tcW w:w="1356"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9.58</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8.24</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338/508</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22.34</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153/508</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14.64</w:t>
            </w:r>
          </w:p>
        </w:tc>
      </w:tr>
      <w:tr>
        <w:tblPrEx>
          <w:tblCellMar>
            <w:top w:w="0" w:type="dxa"/>
            <w:left w:w="0" w:type="dxa"/>
            <w:bottom w:w="0" w:type="dxa"/>
            <w:right w:w="0" w:type="dxa"/>
          </w:tblCellMar>
        </w:tblPrEx>
        <w:trPr>
          <w:trHeight w:val="288" w:hRule="atLeast"/>
        </w:trPr>
        <w:tc>
          <w:tcPr>
            <w:tcW w:w="660"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2016</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-10.85</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-11.28</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-11.81</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73/148</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15.03</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4/148</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15.72</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3/148</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-7.71</w:t>
            </w:r>
          </w:p>
        </w:tc>
        <w:tc>
          <w:tcPr>
            <w:tcW w:w="1068" w:type="dxa"/>
            <w:tcBorders>
              <w:top w:val="nil"/>
              <w:left w:val="nil"/>
              <w:bottom w:val="nil"/>
              <w:right w:val="nil"/>
            </w:tcBorders>
            <w:shd w:val="clear" w:color="auto" w:fill="DFDFDF"/>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59/148</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-21.05</w:t>
            </w:r>
          </w:p>
        </w:tc>
        <w:tc>
          <w:tcPr>
            <w:tcW w:w="118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625/716</w:t>
            </w:r>
          </w:p>
        </w:tc>
        <w:tc>
          <w:tcPr>
            <w:tcW w:w="1356"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-4.35</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17.45</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1/475</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-28.61</w:t>
            </w:r>
          </w:p>
        </w:tc>
        <w:tc>
          <w:tcPr>
            <w:tcW w:w="0" w:type="auto"/>
            <w:tcBorders>
              <w:top w:val="nil"/>
              <w:left w:val="nil"/>
              <w:bottom w:val="nil"/>
              <w:right w:val="nil"/>
            </w:tcBorders>
            <w:shd w:val="clear" w:color="auto" w:fill="BDD7EE"/>
            <w:noWrap/>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bdr w:val="none" w:color="auto" w:sz="0" w:space="0"/>
                <w:lang w:val="en-US" w:eastAsia="zh-CN" w:bidi="ar"/>
              </w:rPr>
              <w:t>435/475</w:t>
            </w:r>
          </w:p>
        </w:tc>
        <w:tc>
          <w:tcPr>
            <w:tcW w:w="1068" w:type="dxa"/>
            <w:tcBorders>
              <w:top w:val="nil"/>
              <w:left w:val="nil"/>
              <w:bottom w:val="nil"/>
              <w:right w:val="nil"/>
            </w:tcBorders>
            <w:shd w:val="clear" w:color="auto" w:fill="BDD7EE"/>
            <w:tcMar>
              <w:top w:w="12" w:type="dxa"/>
              <w:left w:w="12" w:type="dxa"/>
              <w:right w:w="12" w:type="dxa"/>
            </w:tcMar>
            <w:vAlign w:val="center"/>
          </w:tcPr>
          <w:p>
            <w:pPr>
              <w:keepNext w:val="0"/>
              <w:keepLines w:val="0"/>
              <w:widowControl/>
              <w:suppressLineNumbers w:val="0"/>
              <w:jc w:val="right"/>
              <w:textAlignment w:val="center"/>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bdr w:val="none" w:color="auto" w:sz="0" w:space="0"/>
                <w:lang w:val="en-US" w:eastAsia="zh-CN" w:bidi="ar"/>
              </w:rPr>
              <w:t>-14.35</w:t>
            </w:r>
          </w:p>
        </w:tc>
      </w:tr>
    </w:tbl>
    <w:p/>
    <w:p>
      <w:pPr>
        <w:rPr>
          <w:rFonts w:hint="eastAsia"/>
          <w:u w:val="single"/>
          <w:lang w:val="en-US" w:eastAsia="zh-CN"/>
        </w:rPr>
      </w:pPr>
      <w:r>
        <w:rPr>
          <w:rFonts w:hint="eastAsia"/>
          <w:u w:val="single"/>
          <w:lang w:val="en-US" w:eastAsia="zh-CN"/>
        </w:rPr>
        <w:t xml:space="preserve">                                                                                                                                                                                                                                                                                                                                                                                  </w:t>
      </w:r>
    </w:p>
    <w:p>
      <w:pPr>
        <w:rPr>
          <w:rFonts w:hint="eastAsia"/>
          <w:u w:val="single"/>
          <w:lang w:val="en-US" w:eastAsia="zh-CN"/>
        </w:rPr>
      </w:pPr>
    </w:p>
    <w:tbl>
      <w:tblPr>
        <w:tblW w:w="0" w:type="auto"/>
        <w:tblInd w:w="0" w:type="dxa"/>
        <w:shd w:val="clear"/>
        <w:tblLayout w:type="autofit"/>
        <w:tblCellMar>
          <w:top w:w="0" w:type="dxa"/>
          <w:left w:w="0" w:type="dxa"/>
          <w:bottom w:w="0" w:type="dxa"/>
          <w:right w:w="0" w:type="dxa"/>
        </w:tblCellMar>
      </w:tblPr>
      <w:tblGrid>
        <w:gridCol w:w="88"/>
        <w:gridCol w:w="218"/>
        <w:gridCol w:w="80"/>
        <w:gridCol w:w="312"/>
        <w:gridCol w:w="423"/>
        <w:gridCol w:w="185"/>
        <w:gridCol w:w="219"/>
        <w:gridCol w:w="80"/>
        <w:gridCol w:w="312"/>
        <w:gridCol w:w="468"/>
        <w:gridCol w:w="171"/>
        <w:gridCol w:w="219"/>
        <w:gridCol w:w="80"/>
        <w:gridCol w:w="279"/>
        <w:gridCol w:w="390"/>
        <w:gridCol w:w="171"/>
        <w:gridCol w:w="219"/>
        <w:gridCol w:w="80"/>
        <w:gridCol w:w="312"/>
        <w:gridCol w:w="468"/>
        <w:gridCol w:w="185"/>
        <w:gridCol w:w="219"/>
        <w:gridCol w:w="80"/>
        <w:gridCol w:w="233"/>
        <w:gridCol w:w="390"/>
        <w:gridCol w:w="171"/>
        <w:gridCol w:w="219"/>
        <w:gridCol w:w="80"/>
        <w:gridCol w:w="279"/>
        <w:gridCol w:w="390"/>
        <w:gridCol w:w="171"/>
        <w:gridCol w:w="219"/>
        <w:gridCol w:w="80"/>
        <w:gridCol w:w="279"/>
        <w:gridCol w:w="390"/>
        <w:gridCol w:w="171"/>
      </w:tblGrid>
      <w:tr>
        <w:tblPrEx>
          <w:shd w:val="clear"/>
          <w:tblCellMar>
            <w:top w:w="0" w:type="dxa"/>
            <w:left w:w="0" w:type="dxa"/>
            <w:bottom w:w="0" w:type="dxa"/>
            <w:right w:w="0" w:type="dxa"/>
          </w:tblCellMar>
        </w:tblPrEx>
        <w:trPr>
          <w:trHeight w:val="288" w:hRule="atLeast"/>
        </w:trPr>
        <w:tc>
          <w:tcPr>
            <w:tcW w:w="0" w:type="auto"/>
            <w:gridSpan w:val="5"/>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工银瑞信文体产业</w:t>
            </w:r>
          </w:p>
        </w:tc>
        <w:tc>
          <w:tcPr>
            <w:tcW w:w="0" w:type="auto"/>
            <w:gridSpan w:val="6"/>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中欧时代先锋</w:t>
            </w:r>
          </w:p>
        </w:tc>
        <w:tc>
          <w:tcPr>
            <w:tcW w:w="0" w:type="auto"/>
            <w:gridSpan w:val="5"/>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博时丝路主题</w:t>
            </w:r>
          </w:p>
        </w:tc>
        <w:tc>
          <w:tcPr>
            <w:tcW w:w="0" w:type="auto"/>
            <w:gridSpan w:val="5"/>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嘉实新兴产业</w:t>
            </w:r>
          </w:p>
        </w:tc>
        <w:tc>
          <w:tcPr>
            <w:tcW w:w="0" w:type="auto"/>
            <w:gridSpan w:val="5"/>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天弘云端生活优选</w:t>
            </w:r>
          </w:p>
        </w:tc>
        <w:tc>
          <w:tcPr>
            <w:tcW w:w="0" w:type="auto"/>
            <w:gridSpan w:val="5"/>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天弘永定成长</w:t>
            </w:r>
          </w:p>
        </w:tc>
        <w:tc>
          <w:tcPr>
            <w:tcW w:w="0" w:type="auto"/>
            <w:gridSpan w:val="5"/>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天弘周期策略</w:t>
            </w:r>
          </w:p>
        </w:tc>
      </w:tr>
      <w:tr>
        <w:tblPrEx>
          <w:shd w:val="clear"/>
          <w:tblCellMar>
            <w:top w:w="0" w:type="dxa"/>
            <w:left w:w="0" w:type="dxa"/>
            <w:bottom w:w="0" w:type="dxa"/>
            <w:right w:w="0" w:type="dxa"/>
          </w:tblCellMar>
        </w:tblPrEx>
        <w:trPr>
          <w:trHeight w:val="936" w:hRule="atLeast"/>
        </w:trPr>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ascii="微软雅黑" w:hAnsi="微软雅黑" w:eastAsia="微软雅黑" w:cs="微软雅黑"/>
                <w:i w:val="0"/>
                <w:color w:val="333333"/>
                <w:sz w:val="21"/>
                <w:szCs w:val="21"/>
                <w:u w:val="none"/>
              </w:rPr>
            </w:pPr>
            <w:bookmarkStart w:id="0" w:name="_GoBack" w:colFirst="0" w:colLast="35"/>
            <w:r>
              <w:rPr>
                <w:rFonts w:hint="eastAsia" w:ascii="微软雅黑" w:hAnsi="微软雅黑" w:eastAsia="微软雅黑" w:cs="微软雅黑"/>
                <w:i w:val="0"/>
                <w:color w:val="333333"/>
                <w:kern w:val="0"/>
                <w:sz w:val="21"/>
                <w:szCs w:val="21"/>
                <w:u w:val="none"/>
                <w:bdr w:val="none" w:color="auto" w:sz="0" w:space="0"/>
                <w:lang w:val="en-US" w:eastAsia="zh-CN" w:bidi="ar"/>
              </w:rPr>
              <w:t>序号</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股票代码</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股票名称</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数量（股）</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公允价值（元）</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占基金资产净值比例（%）</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股票代码</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股票名称</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数量(股)</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公允价值(元)</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占基金资产净值比例(%)</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股票代码</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股票名称</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数量(股)</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公允价值(元)</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占基金资产净值比例(％)</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股票代码</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股票名称</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数量（股）</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公允价值（元）</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占基金资产净值比例（%）</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股票代码</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股票名称</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数量(股)</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公允价值(元)</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占基金资产净值比例(%)</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股票代码</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股票名称</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数量(股)</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公允价值(元)</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占基金资产净值比例(%)</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股票代码</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股票名称</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数量(股)</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公允价值(元)</w:t>
            </w:r>
          </w:p>
        </w:tc>
        <w:tc>
          <w:tcPr>
            <w:tcW w:w="0" w:type="auto"/>
            <w:tcBorders>
              <w:top w:val="nil"/>
              <w:left w:val="nil"/>
              <w:bottom w:val="nil"/>
              <w:right w:val="nil"/>
            </w:tcBorders>
            <w:shd w:val="clear" w:color="auto" w:fill="E8E8E9"/>
            <w:tcMar>
              <w:top w:w="12" w:type="dxa"/>
              <w:left w:w="12" w:type="dxa"/>
              <w:right w:w="12"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sz w:val="21"/>
                <w:szCs w:val="21"/>
                <w:u w:val="none"/>
              </w:rPr>
            </w:pPr>
            <w:r>
              <w:rPr>
                <w:rFonts w:hint="eastAsia" w:ascii="微软雅黑" w:hAnsi="微软雅黑" w:eastAsia="微软雅黑" w:cs="微软雅黑"/>
                <w:i w:val="0"/>
                <w:color w:val="333333"/>
                <w:kern w:val="0"/>
                <w:sz w:val="21"/>
                <w:szCs w:val="21"/>
                <w:u w:val="none"/>
                <w:bdr w:val="none" w:color="auto" w:sz="0" w:space="0"/>
                <w:lang w:val="en-US" w:eastAsia="zh-CN" w:bidi="ar"/>
              </w:rPr>
              <w:t>占基金资产净值比例(%)</w:t>
            </w:r>
          </w:p>
        </w:tc>
      </w:tr>
      <w:tr>
        <w:tblPrEx>
          <w:shd w:val="clear"/>
          <w:tblCellMar>
            <w:top w:w="0" w:type="dxa"/>
            <w:left w:w="0" w:type="dxa"/>
            <w:bottom w:w="0" w:type="dxa"/>
            <w:right w:w="0" w:type="dxa"/>
          </w:tblCellMar>
        </w:tblPrEx>
        <w:trPr>
          <w:trHeight w:val="312" w:hRule="atLeast"/>
        </w:trPr>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2415</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海康威视</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14,662,108</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711,258,859.08</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5.23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2460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赣锋锂业</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17,778,744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1,799,208,892.80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9.12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708</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中信特钢</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2,855,350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62,218,076.50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7.59</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300124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汇川技术</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11,920,853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1,112,215,584.90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7.56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600519</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贵州茅台</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12,140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24,255,720.00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9.79</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603259</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药明康德</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446,761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60,187,641.92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7.34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600176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中国巨石</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1,123,126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22,417,594.96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8.73</w:t>
            </w:r>
          </w:p>
        </w:tc>
      </w:tr>
      <w:tr>
        <w:tblPrEx>
          <w:shd w:val="clear"/>
          <w:tblCellMar>
            <w:top w:w="0" w:type="dxa"/>
            <w:left w:w="0" w:type="dxa"/>
            <w:bottom w:w="0" w:type="dxa"/>
            <w:right w:w="0" w:type="dxa"/>
          </w:tblCellMar>
        </w:tblPrEx>
        <w:trPr>
          <w:trHeight w:val="312" w:hRule="atLeast"/>
        </w:trPr>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600660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福耀玻璃</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14,162,907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680,527,681.35</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5.01</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601318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中国平安</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15,916,181</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1,384,389,423.38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7.01</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300760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迈瑞医疗</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138,867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59,157,342.00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7.22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600763</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通策医疗</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3,771,012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1,042,760,238.24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7.09</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858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五 粮 液</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81,800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23,873,330.00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9.64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600809</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山西汾酒</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148,756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55,826,639.24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786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北新建材</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361,200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14,466,060.00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5.63</w:t>
            </w:r>
          </w:p>
        </w:tc>
      </w:tr>
      <w:tr>
        <w:tblPrEx>
          <w:shd w:val="clear"/>
          <w:tblCellMar>
            <w:top w:w="0" w:type="dxa"/>
            <w:left w:w="0" w:type="dxa"/>
            <w:bottom w:w="0" w:type="dxa"/>
            <w:right w:w="0" w:type="dxa"/>
          </w:tblCellMar>
        </w:tblPrEx>
        <w:trPr>
          <w:trHeight w:val="312" w:hRule="atLeast"/>
        </w:trPr>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858</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五 粮 液</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1,776,393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518,440,297.05</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3.82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300454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深信服</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5,561,856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1,378,139,406.56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6.98</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300782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卓胜微</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87,941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49,523,608.14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300760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迈瑞医疗</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2,136,471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910,136,646.00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6.19</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600690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海尔智家</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628,870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18,369,292.70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7.42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300760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迈瑞医疗</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125,756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53,572,056.00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6.53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600346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恒力石化</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508,700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14,228,339.00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5.54</w:t>
            </w:r>
          </w:p>
        </w:tc>
      </w:tr>
      <w:tr>
        <w:tblPrEx>
          <w:shd w:val="clear"/>
          <w:tblCellMar>
            <w:top w:w="0" w:type="dxa"/>
            <w:left w:w="0" w:type="dxa"/>
            <w:bottom w:w="0" w:type="dxa"/>
            <w:right w:w="0" w:type="dxa"/>
          </w:tblCellMar>
        </w:tblPrEx>
        <w:trPr>
          <w:trHeight w:val="312" w:hRule="atLeast"/>
        </w:trPr>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603129</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春风动力</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2,971,698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517,640,074.62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3.81</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2415</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海康威视</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21,303,032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1,033,410,082.32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5.24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300037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新宙邦</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427,683</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43,367,056.20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5.29</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2410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广联达</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10,639,824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837,779,741.76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600887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伊利股份</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405,100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17,974,287.00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7.26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2821</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凯莱英</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170,875</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51,115,547.50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6.23</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625</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长安汽车</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570,187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12,475,691.56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4.86</w:t>
            </w:r>
          </w:p>
        </w:tc>
      </w:tr>
      <w:tr>
        <w:tblPrEx>
          <w:shd w:val="clear"/>
          <w:tblCellMar>
            <w:top w:w="0" w:type="dxa"/>
            <w:left w:w="0" w:type="dxa"/>
            <w:bottom w:w="0" w:type="dxa"/>
            <w:right w:w="0" w:type="dxa"/>
          </w:tblCellMar>
        </w:tblPrEx>
        <w:trPr>
          <w:trHeight w:val="312" w:hRule="atLeast"/>
        </w:trPr>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600887</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伊利股份</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11,126,726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493,692,832.62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3.63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2352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顺丰控股</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11,294,914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996,550,262.22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5.05</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2475</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立讯精密</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740,304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41,545,860.48</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5.07</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300285</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国瓷材料</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18,244,391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823,004,478.01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333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美的集团</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173,900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17,118,716.00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6.91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333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美的集团</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502,976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49,512,957.44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600036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招商银行</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260,500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11,448,975.00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4.46</w:t>
            </w:r>
          </w:p>
        </w:tc>
      </w:tr>
      <w:tr>
        <w:tblPrEx>
          <w:shd w:val="clear"/>
          <w:tblCellMar>
            <w:top w:w="0" w:type="dxa"/>
            <w:left w:w="0" w:type="dxa"/>
            <w:bottom w:w="0" w:type="dxa"/>
            <w:right w:w="0" w:type="dxa"/>
          </w:tblCellMar>
        </w:tblPrEx>
        <w:trPr>
          <w:trHeight w:val="312" w:hRule="atLeast"/>
        </w:trPr>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600176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中国巨石</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24,181,605</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482,664,835.80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3.55</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2311</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海大集团</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14,477,872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948,300,616.00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600426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华鲁恒升</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1,100,256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41,039,548.80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5.01</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300012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华测检测</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28,830,034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789,078,030.58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5.37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603816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顾家家居</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229,860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16,207,428.60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6.54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300413</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芒果超媒</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528,600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38,323,500.00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4.67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300374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中铁装配</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935,279</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11,120,467.31</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4.33</w:t>
            </w:r>
          </w:p>
        </w:tc>
      </w:tr>
      <w:tr>
        <w:tblPrEx>
          <w:shd w:val="clear"/>
          <w:tblCellMar>
            <w:top w:w="0" w:type="dxa"/>
            <w:left w:w="0" w:type="dxa"/>
            <w:bottom w:w="0" w:type="dxa"/>
            <w:right w:w="0" w:type="dxa"/>
          </w:tblCellMar>
        </w:tblPrEx>
        <w:trPr>
          <w:trHeight w:val="312" w:hRule="atLeast"/>
        </w:trPr>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596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古井贡酒</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1,517,591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412,784,752.00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300750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宁德时代</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2,674,246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938,954,513.06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4.76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601899</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紫金矿业</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3,677,000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34,159,330.00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4.17</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300496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中科创达</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6,224,501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726,373,515.60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4.94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600882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妙可蓝多</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257,200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14,686,120.00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5.93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2311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海大集团</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572,600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37,505,300.00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4.57</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601318</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中国平安</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127,400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11,081,252.00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4.31</w:t>
            </w:r>
          </w:p>
        </w:tc>
      </w:tr>
      <w:tr>
        <w:tblPrEx>
          <w:shd w:val="clear"/>
          <w:tblCellMar>
            <w:top w:w="0" w:type="dxa"/>
            <w:left w:w="0" w:type="dxa"/>
            <w:bottom w:w="0" w:type="dxa"/>
            <w:right w:w="0" w:type="dxa"/>
          </w:tblCellMar>
        </w:tblPrEx>
        <w:trPr>
          <w:trHeight w:val="312" w:hRule="atLeast"/>
        </w:trPr>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600298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安琪酵母</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8,024,515</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409,811,981.05</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600660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福耀玻璃</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18,867,030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906,560,791.50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4.59</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300014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亿纬锂能</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359,083</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29,265,264.50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3.57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300357</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我武生物</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8,428,230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646,445,241.00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4.4</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603899</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晨光文具</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156,200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13,833,072.00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5.58</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600519</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贵州茅台</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17,756</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35,476,488.00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4.32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2352</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顺丰控股</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124,700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11,002,281.00</w:t>
            </w:r>
          </w:p>
        </w:tc>
        <w:tc>
          <w:tcPr>
            <w:tcW w:w="0" w:type="auto"/>
            <w:tcBorders>
              <w:top w:val="nil"/>
              <w:left w:val="nil"/>
              <w:bottom w:val="dotted" w:color="DDDDDD" w:sz="4" w:space="0"/>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4.28</w:t>
            </w:r>
          </w:p>
        </w:tc>
      </w:tr>
      <w:tr>
        <w:tblPrEx>
          <w:shd w:val="clear"/>
          <w:tblCellMar>
            <w:top w:w="0" w:type="dxa"/>
            <w:left w:w="0" w:type="dxa"/>
            <w:bottom w:w="0" w:type="dxa"/>
            <w:right w:w="0" w:type="dxa"/>
          </w:tblCellMar>
        </w:tblPrEx>
        <w:trPr>
          <w:trHeight w:val="312" w:hRule="atLeast"/>
        </w:trPr>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661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长春高新</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912,606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409,677,959.46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3.02</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300124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汇川技术</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8,345,589</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778,643,453.70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3.95</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688408</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中信博</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158,504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27,066,143.04</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3.3</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600570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恒生电子</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5,979,335</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627,232,241.50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4.27</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2568</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百润股份</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132,100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13,776,709.00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5.56</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600690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海尔智家</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1,209,600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35,332,416.00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4.31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603601</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再升科技</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772,100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10,539,165.00</w:t>
            </w:r>
          </w:p>
        </w:tc>
        <w:tc>
          <w:tcPr>
            <w:tcW w:w="0" w:type="auto"/>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4.1</w:t>
            </w:r>
          </w:p>
        </w:tc>
      </w:tr>
      <w:tr>
        <w:tblPrEx>
          <w:shd w:val="clear"/>
          <w:tblCellMar>
            <w:top w:w="0" w:type="dxa"/>
            <w:left w:w="0" w:type="dxa"/>
            <w:bottom w:w="0" w:type="dxa"/>
            <w:right w:w="0" w:type="dxa"/>
          </w:tblCellMar>
        </w:tblPrEx>
        <w:trPr>
          <w:trHeight w:val="312" w:hRule="atLeast"/>
        </w:trPr>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651</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格力电器</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6,573,536</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407,164,819.84</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600309</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万华化学</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8,485,964</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772,562,162.56</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3.91</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600519</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贵州茅台</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13,000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25,974,000.00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3.17</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600519</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贵州茅台</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311,373</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622,123,254.00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4.23</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600809</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山西汾酒</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29,900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11,221,171.00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4.53</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603816</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顾家家居</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482,880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34,047,868.80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4.15</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300767</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震安科技</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143,400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10,468,200.00</w:t>
            </w:r>
          </w:p>
        </w:tc>
        <w:tc>
          <w:tcPr>
            <w:tcW w:w="0" w:type="auto"/>
            <w:tcBorders>
              <w:top w:val="nil"/>
              <w:left w:val="nil"/>
              <w:bottom w:val="nil"/>
              <w:right w:val="nil"/>
            </w:tcBorders>
            <w:shd w:val="clear" w:color="auto" w:fill="F4F4F4"/>
            <w:tcMar>
              <w:top w:w="12" w:type="dxa"/>
              <w:left w:w="12" w:type="dxa"/>
              <w:right w:w="12" w:type="dxa"/>
            </w:tcMar>
            <w:vAlign w:val="center"/>
          </w:tcPr>
          <w:p>
            <w:pPr>
              <w:keepNext w:val="0"/>
              <w:keepLines w:val="0"/>
              <w:widowControl/>
              <w:suppressLineNumbers w:val="0"/>
              <w:jc w:val="right"/>
              <w:textAlignment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bdr w:val="none" w:color="auto" w:sz="0" w:space="0"/>
                <w:lang w:val="en-US" w:eastAsia="zh-CN" w:bidi="ar"/>
              </w:rPr>
              <w:t>4.08</w:t>
            </w:r>
          </w:p>
        </w:tc>
      </w:tr>
      <w:bookmarkEnd w:id="0"/>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37.13</w:t>
            </w: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55.41</w:t>
            </w: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50.43</w:t>
            </w: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55.35</w:t>
            </w: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69.16</w:t>
            </w: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54.95</w:t>
            </w: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rPr>
                <w:rFonts w:hint="eastAsia" w:ascii="宋体" w:hAnsi="宋体" w:eastAsia="宋体" w:cs="宋体"/>
                <w:b/>
                <w:i w:val="0"/>
                <w:color w:val="000000"/>
                <w:sz w:val="22"/>
                <w:szCs w:val="22"/>
                <w:u w:val="none"/>
              </w:rPr>
            </w:pPr>
          </w:p>
        </w:tc>
        <w:tc>
          <w:tcPr>
            <w:tcW w:w="0" w:type="auto"/>
            <w:tcBorders>
              <w:top w:val="nil"/>
              <w:left w:val="nil"/>
              <w:bottom w:val="nil"/>
              <w:right w:val="nil"/>
            </w:tcBorders>
            <w:shd w:val="clear" w:color="auto" w:fill="F8CBAD"/>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50.32</w:t>
            </w:r>
          </w:p>
        </w:tc>
      </w:tr>
      <w:tr>
        <w:tblPrEx>
          <w:shd w:val="clear"/>
          <w:tblCellMar>
            <w:top w:w="0" w:type="dxa"/>
            <w:left w:w="0" w:type="dxa"/>
            <w:bottom w:w="0" w:type="dxa"/>
            <w:right w:w="0" w:type="dxa"/>
          </w:tblCellMar>
        </w:tblPrEx>
        <w:trPr>
          <w:trHeight w:val="8180" w:hRule="atLeast"/>
        </w:trPr>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gridSpan w:val="5"/>
            <w:tcBorders>
              <w:top w:val="nil"/>
              <w:left w:val="nil"/>
              <w:bottom w:val="nil"/>
              <w:right w:val="nil"/>
            </w:tcBorders>
            <w:shd w:val="clear"/>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四季度市场行业轮动比较激烈，10月、11月市场行情演绎了对于货币和信贷政策收紧的担忧，表现为传统周期类低估值资产的反弹；12月由于央行的定调相对市场预期更“鸽”，市场又反向演绎成长股的行情。本基金在操作上，延续三季度以来的策略，即在周期和成长方面保持相对平衡的行业配置，整体在四季度没有太多的策略性操作。</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b/>
                <w:i w:val="0"/>
                <w:color w:val="000000"/>
                <w:kern w:val="0"/>
                <w:sz w:val="22"/>
                <w:szCs w:val="22"/>
                <w:u w:val="none"/>
                <w:bdr w:val="none" w:color="auto" w:sz="0" w:space="0"/>
                <w:lang w:val="en-US" w:eastAsia="zh-CN" w:bidi="ar"/>
              </w:rPr>
              <w:t>管理人认为一季度是2021年相对较好的时间窗口，一方面，外部环境较好，欧美疫情随着疫苗的接种进入改善通道，美联储货币和财政政策支持实体经济的恢复；另一方面，国内的宏观政策相对温和，且一季度有较多的新发基金，流动性相对充分。优质成长股依然是主力配置的方向，板块上相对看好军工、有色，新能源板块感觉风险或将大于机会。2021年全年来看，相对谨慎，成长股估值相对较高，而且2021年的宏观流动性环境的边际友好程度或将弱于2020年。但是上下半年可能有节奏分化。</w:t>
            </w:r>
          </w:p>
        </w:tc>
        <w:tc>
          <w:tcPr>
            <w:tcW w:w="0" w:type="auto"/>
            <w:gridSpan w:val="5"/>
            <w:tcBorders>
              <w:top w:val="nil"/>
              <w:left w:val="nil"/>
              <w:bottom w:val="nil"/>
              <w:right w:val="nil"/>
            </w:tcBorders>
            <w:shd w:val="clear"/>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四季度A股市场继续震荡向上，经济从复苏走向繁荣（尽管全球疫情仍有反复），顺周期行业（如可选消费、化工、机械）以及技术突破性变革行业（如光伏、新能源汽车）等领涨市场，科技、医药、金融地产等相对落后。市场的结构分化进一步加大，沪深300指数大幅领先中证1000，创业板50指数也远远跑赢创业板综指，这既是这个时代行业集中度提升、龙头企业胜出的基本面映射，也是资本市场供、需两端改革深化（供给注册制、需求机构化）的体现。市场估值、流动性的结构分层，中短期一定会带来估值泡沫的压力，但长期是合理的，经营优秀的企业应当获得优越的融资条件，海外成熟市场历史上都走过类似的道路，A股市场总体上处在长期健康发展的通道中。</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四季度，我们按照“看好宏观，关注景气，聚焦好生意、好团队”的总体思路，继续保持仓位的稳定，结构上继续聚焦看好方向的优质公司。我们一方面观察到宏观经济的复苏到繁荣，地产投资和基建投资、消费提供韧性，出口、制造业投资提供弹性，在可选消费、化工机械建材、金融等领域保持或加强配置；另一方面，在长期看好的新一代互联网、云计算、医疗健康、品牌消费品等领域，忽略短期波动，继续持有优质公司。</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b/>
                <w:i w:val="0"/>
                <w:color w:val="000000"/>
                <w:kern w:val="0"/>
                <w:sz w:val="22"/>
                <w:szCs w:val="22"/>
                <w:u w:val="none"/>
                <w:bdr w:val="none" w:color="auto" w:sz="0" w:space="0"/>
                <w:lang w:val="en-US" w:eastAsia="zh-CN" w:bidi="ar"/>
              </w:rPr>
              <w:t>组合管理方面，在前几个季度基础上，我们一是坚持了聚焦个股，在管理规模增加的同时总体上保持了稳定且较高的集中度；二是继续多做减法、聚焦研究，聚焦重点看好的投资机会，主动放弃看不懂、看不透的机会。同时，基金管理团队扩充后，展现出了良好的协同效应，在新发基金和存量基金的管理方面发挥了较大作用。</w:t>
            </w:r>
            <w:r>
              <w:rPr>
                <w:rFonts w:hint="eastAsia" w:ascii="宋体" w:hAnsi="宋体" w:eastAsia="宋体" w:cs="宋体"/>
                <w:b/>
                <w:i w:val="0"/>
                <w:color w:val="000000"/>
                <w:kern w:val="0"/>
                <w:sz w:val="22"/>
                <w:szCs w:val="22"/>
                <w:u w:val="none"/>
                <w:bdr w:val="none" w:color="auto" w:sz="0" w:space="0"/>
                <w:lang w:val="en-US" w:eastAsia="zh-CN" w:bidi="ar"/>
              </w:rPr>
              <w:br w:type="textWrapping"/>
            </w:r>
            <w:r>
              <w:rPr>
                <w:rFonts w:hint="eastAsia" w:ascii="宋体" w:hAnsi="宋体" w:eastAsia="宋体" w:cs="宋体"/>
                <w:b/>
                <w:i w:val="0"/>
                <w:color w:val="000000"/>
                <w:kern w:val="0"/>
                <w:sz w:val="22"/>
                <w:szCs w:val="22"/>
                <w:u w:val="none"/>
                <w:bdr w:val="none" w:color="auto" w:sz="0" w:space="0"/>
                <w:lang w:val="en-US" w:eastAsia="zh-CN" w:bidi="ar"/>
              </w:rPr>
              <w:br w:type="textWrapping"/>
            </w:r>
            <w:r>
              <w:rPr>
                <w:rFonts w:hint="eastAsia" w:ascii="宋体" w:hAnsi="宋体" w:eastAsia="宋体" w:cs="宋体"/>
                <w:b/>
                <w:i w:val="0"/>
                <w:color w:val="000000"/>
                <w:kern w:val="0"/>
                <w:sz w:val="22"/>
                <w:szCs w:val="22"/>
                <w:u w:val="none"/>
                <w:bdr w:val="none" w:color="auto" w:sz="0" w:space="0"/>
                <w:lang w:val="en-US" w:eastAsia="zh-CN" w:bidi="ar"/>
              </w:rPr>
              <w:t>总体业绩方面，中欧时代先锋四季度上涨27.07%，跑赢比较基准。我们从过去2年的规模挑战、5年的管理积累历程走来，犯过很多错误、收获诸多教训，也有一些经验收获。我们的收获，一是要坚持从持有人挣钱的角度思考问题。公募基金的投资管理，与基金投资行为之间，相隔着基金投资研究配置、基金发行、渠道销售等诸多流程，还存在着各环节考核短期化、追涨杀跌等情况，基金业绩转化为投资者获得是很不容易的，需要我辈同仁多加努力。二是尽管估值变化解释了绝大部分的市场涨跌幅，但我们全部的工作依然要聚焦基本面，做好投资，把研究好生意、好团队这件事做通做透是唯一的出路。</w:t>
            </w:r>
          </w:p>
        </w:tc>
        <w:tc>
          <w:tcPr>
            <w:tcW w:w="0" w:type="auto"/>
            <w:gridSpan w:val="5"/>
            <w:tcBorders>
              <w:top w:val="nil"/>
              <w:left w:val="nil"/>
              <w:bottom w:val="nil"/>
              <w:right w:val="nil"/>
            </w:tcBorders>
            <w:shd w:val="clear"/>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四季度国内经济继续稳步回升，出口是经济上行的最大拉动力。欧美国家的财政救助支撑了居民商品需求，而疫情干扰下生产端迟迟无法完全恢复，导致国内出口大幅增长，并带动国内工业产值和制造业投资向上，带动经济整体走好。而内需方面，基建仍在低位，消费也缓慢恢复，只有地产在三道红线压力下仍然表现出较强的韧性。</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四季度的另一个大的变量是海外疫苗问世，使得21年欧美国家复工复产可能性增强，四季度全球定价的大宗商品如油铜等整体上行。在出口向好和海外复工预期下，四季度出口链的轻工家电及上游原材料行业景气度明显提升。</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四季度国内政策预期也有所改善。7月政府开始强调防风险与稳增长相均衡，央行重提货币总阀门，市场始终担心21年政策退出导致流动性收紧甚至是经济压力，但12月经济工作会议明确强调政策“不急转弯”，政策会退出但不会过紧，是“符合预期的退出”，大大减轻市场对系统性风险的担忧。同时明确21年政策重心是科技消费和碳中和，并一再强调对小微和制造业的扶持、减少经济对传统投资端的依赖，我们能明显感受到政府呵护经济的努力和推进改革的决心。</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综合考虑政策风险下降，出口支撑经济，政策仍对权益市场有较强诉求，四季度本基金配置较三季度更积极，重点配置两个方向，一是受益于出口和海外复苏的化工有色及先进制造业；二是政策明确鼓励，长期空间大的科技新能源等方向。在选股上，坚持买长期成长空间明确、有深护城河的好公司。</w:t>
            </w:r>
          </w:p>
        </w:tc>
        <w:tc>
          <w:tcPr>
            <w:tcW w:w="0" w:type="auto"/>
            <w:gridSpan w:val="5"/>
            <w:tcBorders>
              <w:top w:val="nil"/>
              <w:left w:val="nil"/>
              <w:bottom w:val="nil"/>
              <w:right w:val="nil"/>
            </w:tcBorders>
            <w:shd w:val="clear"/>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四季度中国经济继续保持较好的复苏势头，主要经济指标表现强劲。而海外疫情仍较为严重，欧洲甚至出现二次爆发的情况，发达经济体的复苏缓慢而艰难，货币政策持续宽松。随着疫苗研发成功，在疫情会得到控制、全球经济有望迎来复苏的良好预期下，四季度全球主要股票市场多数录得两位数涨幅。</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从国内情况来看，下半年市场一度担心国内经济复苏促使货币政策显著收紧，但全球疫情肆虐背景下国内货币政策环境仍较为温和，逐步从宽松向稳健中性过渡，政策部门也表态货币政策不会急转弯。美国大选落地后处于权力交接的真空期，中美关系暂无更大的变化。四季度国内市场投资环境总体稳定。</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经历三季度的震荡盘整后，四季度A股市场表现较好，涨幅领先的板块包电气设备、有色金属、食品饮料、汽车、家电等行业；表现落后的板块主要是商业贸易、传媒、房地产、通信和计算机等。总的来看，电气设备、有色金属板块的表现反映了行业高景气，而白酒、汽车、家电等可选消费更多反应了市场对经济复苏的预期。</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本基金四季度在持仓结构上做了优化，制造业、医药健康行业占比有所上升，消费占比有所下降。截止本季度末，本基金大类板块占比依次为制造、科技、医药健康、消费。</w:t>
            </w:r>
          </w:p>
        </w:tc>
        <w:tc>
          <w:tcPr>
            <w:tcW w:w="0" w:type="auto"/>
            <w:gridSpan w:val="4"/>
            <w:tcBorders>
              <w:top w:val="nil"/>
              <w:left w:val="nil"/>
              <w:bottom w:val="nil"/>
              <w:right w:val="nil"/>
            </w:tcBorders>
            <w:shd w:val="clear"/>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《致天弘云端生活优选持有人——未来十年，共同成长、共同追求美好生活》</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1、 基金的投资方向：专注于投资互联网时代下能带来美好生活的消费行业公司</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天弘云端生活优选专注于互联网时代下的消费行业投资，优选出对客户负责任，追求产品品质持续提升的优秀公司。这些能为老百姓带来美好生活的公司，品牌力会持续增强，值得长期投资。</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第一个词——云端</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中国的消费品走过了三个时代，先是紧缺时代的广告为王，再是渠道深化之后的渠道为王，目前是互联网时代回归本源的品质为王。</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天弘云端生活优选灵活配置混合型证券投资基金2020年第4季度报告</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互联网时代用户分辨能力大幅提高，并且线上销售营销方式更加多样化。从以前的“酒香也怕巷子深”，到了现在的“酒香不怕巷子深”。高品质产品对于消费品企业的品牌力提升越来越重要。</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第二个词——生活</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高品质产品能给老百姓带来美好生活。</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持续提供高品质产品的公司，企业价值也会持续提升，有望给企业的股东们带来长期回报，给股东们带来美好生活。</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第三个词——优选</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太多的案例告诉我们不是所有的龙头公司都能持续保持竞争力，例如柯达相机、诺基亚手机、曾经的奶粉龙头三鹿等等。</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长期价值投资，需要我们对企业产品的生命力、企业间的竞争关系、企业内部的管理等多方面做深度研究和长期跟踪，在此基础上精挑细选、谨慎投资。</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2、 我们会选择能看十年的好公司</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本基金的投资策略是“能看十年以上的好公司+逆向投资”。选择有品牌力的好公司，品牌随着规模变大而增强。选择有产品力的好公司，产品能满足老百姓对未来美好生活的追求。这些企业随着经济的发展而价值增长以及股价长期上涨是较大概率的事情</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3、 我们要做到基金净值回调时，让用户更有信心加仓</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2020年下半年消费行业整体表现比较好，团队同事支持也很到位，天弘云端生活重仓股表现较好，2020年底净值上涨到了1.50。但也有一些持有者在亏钱，是因为在底部的时候卖出了一些。</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这更让我深刻的认识到：回调买入是股票投资的胜负手，也是基金投资的胜负手。 回调不割肉是基础，回调能买入是进阶。</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作为基金经理，我会做好和大家的沟通，让大家理解我的投资理念，在行业下跌时，减少因为对于基金经理的不满意而割肉的情况。</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我的基金持有“能看十年以上”的好公司，这样的公司股价下跌时，我会敢于加仓。我的基金买入这些公司，在基金净值回调时，相信持有者也会更有信心加仓！</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4、 本基金适合中长期投资，不适合短期投资</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相对于大部分主动权益基金，天弘云端生活优选半年以内的赎回费率略高，半年以上赎回费率略低。</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赎回费是归属基金资产的，也就是归属于余下的基金持有人，相当于把短期投资者的赎回费给了中长期投资者。</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5、 未来十年，共同成长、共同追求美好生活</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作为天弘云端生活优选的基金经理，我在2020年四季度申购了105万，并锁定三年。我希望这部分投资未来能帮我和家人提高生活品质。</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入行十年一直在天弘，未来十年我会在天弘继续深耕消费赛道，希望能和持有人共同成长、共同追求美好生活。</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天弘云端生活优选灵活配置混合型证券投资基金2020年第4季度报告</w:t>
            </w:r>
          </w:p>
        </w:tc>
        <w:tc>
          <w:tcPr>
            <w:tcW w:w="0" w:type="auto"/>
            <w:gridSpan w:val="5"/>
            <w:tcBorders>
              <w:top w:val="nil"/>
              <w:left w:val="nil"/>
              <w:bottom w:val="nil"/>
              <w:right w:val="nil"/>
            </w:tcBorders>
            <w:shd w:val="clear"/>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天弘永定价值成长混合型证券投资基金2020年第4季度报告</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基金投资策略为自下而上考量公司业绩增长的稳定性和持续性、内生增长和估值的匹配性。我们希望能选出具有较强竞争优势，同时估值相对合理的公司。当前市场的结构性分化特别显著，在此背景下，我们并不会放弃对估值的关注。</w:t>
            </w:r>
          </w:p>
        </w:tc>
        <w:tc>
          <w:tcPr>
            <w:tcW w:w="0" w:type="auto"/>
            <w:tcBorders>
              <w:top w:val="nil"/>
              <w:left w:val="nil"/>
              <w:bottom w:val="nil"/>
              <w:right w:val="nil"/>
            </w:tcBorders>
            <w:shd w:val="clear"/>
            <w:tcMar>
              <w:top w:w="12" w:type="dxa"/>
              <w:left w:w="12" w:type="dxa"/>
              <w:right w:w="12" w:type="dxa"/>
            </w:tcMar>
            <w:vAlign w:val="top"/>
          </w:tcPr>
          <w:p>
            <w:pPr>
              <w:jc w:val="left"/>
              <w:rPr>
                <w:rFonts w:hint="eastAsia" w:ascii="宋体" w:hAnsi="宋体" w:eastAsia="宋体" w:cs="宋体"/>
                <w:i w:val="0"/>
                <w:color w:val="000000"/>
                <w:sz w:val="22"/>
                <w:szCs w:val="22"/>
                <w:u w:val="none"/>
              </w:rPr>
            </w:pPr>
          </w:p>
        </w:tc>
        <w:tc>
          <w:tcPr>
            <w:tcW w:w="0" w:type="auto"/>
            <w:gridSpan w:val="5"/>
            <w:tcBorders>
              <w:top w:val="nil"/>
              <w:left w:val="nil"/>
              <w:bottom w:val="nil"/>
              <w:right w:val="nil"/>
            </w:tcBorders>
            <w:shd w:val="clear"/>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随着国内疫情得到有效控制，从下半年开始市场开始进入后疫情时代，无论是宏观的经济数据还是我们紧密跟踪的中观行业高频数据，都显示出经济的企稳复苏态势，这一点是超出此前市场的预期的。我们认为，展望后续当全球疫情逐步受控后，市场有望开始在经济复苏方面进行更多的赋权。12月随着海外疫情出现一定反复，补库需求受到短期冲击，但应该看到随着疫苗落地需求端的持续改善仍是大方向。供给端经历了过去十年的资本开支低谷和供给侧改革，实际上出清的已经非常彻底。近期观察到很多工业品和周期品的涨价，我们认为这背后是有中长期的供需因素支撑的，而市场仍未进行充分定价。</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天弘周期策略混合型证券投资基金2020年第4季度报告</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随着后疫情时代的来临，市场的极度结构分化行情也告一段落。我们认为后续纯粹的估值扩张难以继续，基本面的景气度改善和业绩的增长将占据更加重要的地位。</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在此背景下，产品组合配置思路为精选龙头，自下而上选择具备护城河和明显竞争优势的龙头企业，重点投向了保险、新材料、石油化工、汽车等方向。以保险为例，商业模式符合价值投资，PEV处于历史低位，保费改善和开门红有望助力保险龙头迎来修复。</w:t>
            </w:r>
          </w:p>
        </w:tc>
      </w:tr>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30680"/>
    <w:rsid w:val="01830680"/>
    <w:rsid w:val="0EA23303"/>
    <w:rsid w:val="10A27F35"/>
    <w:rsid w:val="12CF1545"/>
    <w:rsid w:val="2A5B7F8E"/>
    <w:rsid w:val="42A27C8E"/>
    <w:rsid w:val="4A86050A"/>
    <w:rsid w:val="503338A9"/>
    <w:rsid w:val="56BC118B"/>
    <w:rsid w:val="571A75A4"/>
    <w:rsid w:val="57D43A41"/>
    <w:rsid w:val="591B0A27"/>
    <w:rsid w:val="591F0A3F"/>
    <w:rsid w:val="5C6B5AB2"/>
    <w:rsid w:val="5CB052AA"/>
    <w:rsid w:val="616924FE"/>
    <w:rsid w:val="648E35FA"/>
    <w:rsid w:val="6B8061C5"/>
    <w:rsid w:val="6D7E49C1"/>
    <w:rsid w:val="7E4E008C"/>
    <w:rsid w:val="7E802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nt11"/>
    <w:basedOn w:val="3"/>
    <w:uiPriority w:val="0"/>
    <w:rPr>
      <w:rFonts w:hint="eastAsia" w:ascii="宋体" w:hAnsi="宋体" w:eastAsia="宋体" w:cs="宋体"/>
      <w:b/>
      <w:color w:val="000000"/>
      <w:sz w:val="22"/>
      <w:szCs w:val="22"/>
      <w:u w:val="none"/>
    </w:rPr>
  </w:style>
  <w:style w:type="character" w:customStyle="1" w:styleId="5">
    <w:name w:val="font01"/>
    <w:basedOn w:val="3"/>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2021-02-07T06:27:00Z</dcterms:created>
  <dc:creator>余铮@鱼先生愚</dc:creator>
  <cp:lastModifiedBy>余铮@鱼先生愚</cp:lastModifiedBy>
  <dcterms:modified xsi:type="dcterms:W3CDTF">2021-02-08T00:11:05Z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