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7D9B" w:rsidRDefault="00557D9B" w:rsidP="00557D9B">
      <w:pPr>
        <w:pStyle w:val="Default"/>
      </w:pPr>
    </w:p>
    <w:p w:rsidR="00557D9B" w:rsidRDefault="00557D9B" w:rsidP="00557D9B">
      <w:pPr>
        <w:pStyle w:val="Pa6"/>
        <w:jc w:val="both"/>
        <w:rPr>
          <w:rFonts w:cs="Minion Pro"/>
          <w:color w:val="FFFFFF"/>
          <w:sz w:val="21"/>
          <w:szCs w:val="21"/>
        </w:rPr>
      </w:pPr>
      <w:r>
        <w:t xml:space="preserve"> </w:t>
      </w:r>
      <w:r>
        <w:rPr>
          <w:rFonts w:cs="Minion Pro"/>
          <w:color w:val="FFFFFF"/>
          <w:sz w:val="21"/>
          <w:szCs w:val="21"/>
        </w:rPr>
        <w:t>Biolinguistics and Platonism</w:t>
      </w:r>
    </w:p>
    <w:p w:rsidR="00557D9B" w:rsidRDefault="00557D9B" w:rsidP="00557D9B">
      <w:pPr>
        <w:pStyle w:val="Default"/>
        <w:spacing w:line="261" w:lineRule="atLeast"/>
        <w:ind w:left="680"/>
        <w:rPr>
          <w:color w:val="221E1F"/>
          <w:sz w:val="26"/>
          <w:szCs w:val="26"/>
        </w:rPr>
      </w:pPr>
      <w:r>
        <w:rPr>
          <w:color w:val="221E1F"/>
          <w:sz w:val="26"/>
          <w:szCs w:val="26"/>
        </w:rPr>
        <w:t>chapter 11</w:t>
      </w:r>
    </w:p>
    <w:p w:rsidR="00557D9B" w:rsidRDefault="00557D9B" w:rsidP="00557D9B">
      <w:pPr>
        <w:pStyle w:val="Default"/>
        <w:spacing w:before="140" w:line="321" w:lineRule="atLeast"/>
        <w:ind w:left="680"/>
        <w:rPr>
          <w:rFonts w:ascii="Minion Pro SmBd" w:hAnsi="Minion Pro SmBd" w:cs="Minion Pro SmBd"/>
          <w:color w:val="221E1F"/>
          <w:sz w:val="32"/>
          <w:szCs w:val="32"/>
        </w:rPr>
      </w:pPr>
      <w:r>
        <w:rPr>
          <w:rFonts w:ascii="Minion Pro SmBd" w:hAnsi="Minion Pro SmBd" w:cs="Minion Pro SmBd"/>
          <w:b/>
          <w:bCs/>
          <w:color w:val="221E1F"/>
          <w:sz w:val="32"/>
          <w:szCs w:val="32"/>
        </w:rPr>
        <w:t>Biolinguistics today and Platonism yesterday</w:t>
      </w:r>
    </w:p>
    <w:p w:rsidR="00557D9B" w:rsidRDefault="00557D9B" w:rsidP="00557D9B">
      <w:pPr>
        <w:pStyle w:val="Default"/>
        <w:spacing w:before="260" w:line="241" w:lineRule="atLeast"/>
        <w:ind w:left="680"/>
        <w:rPr>
          <w:color w:val="221E1F"/>
          <w:sz w:val="23"/>
          <w:szCs w:val="23"/>
        </w:rPr>
      </w:pPr>
      <w:r>
        <w:rPr>
          <w:color w:val="221E1F"/>
          <w:sz w:val="23"/>
          <w:szCs w:val="23"/>
        </w:rPr>
        <w:t>T. G. Bever</w:t>
      </w:r>
    </w:p>
    <w:p w:rsidR="00557D9B" w:rsidRDefault="00557D9B" w:rsidP="00557D9B">
      <w:pPr>
        <w:pStyle w:val="Default"/>
        <w:spacing w:before="60" w:after="440" w:line="201" w:lineRule="atLeast"/>
        <w:ind w:left="680"/>
        <w:rPr>
          <w:color w:val="221E1F"/>
          <w:sz w:val="20"/>
          <w:szCs w:val="20"/>
        </w:rPr>
      </w:pPr>
      <w:r>
        <w:rPr>
          <w:color w:val="221E1F"/>
          <w:sz w:val="20"/>
          <w:szCs w:val="20"/>
        </w:rPr>
        <w:t>University of Arizona</w:t>
      </w:r>
    </w:p>
    <w:p w:rsidR="00557D9B" w:rsidRDefault="00557D9B" w:rsidP="00557D9B">
      <w:pPr>
        <w:pStyle w:val="Default"/>
        <w:spacing w:line="181" w:lineRule="atLeast"/>
        <w:ind w:left="680"/>
        <w:rPr>
          <w:color w:val="221E1F"/>
          <w:sz w:val="18"/>
          <w:szCs w:val="18"/>
        </w:rPr>
      </w:pPr>
      <w:r>
        <w:rPr>
          <w:color w:val="221E1F"/>
          <w:sz w:val="18"/>
          <w:szCs w:val="18"/>
        </w:rPr>
        <w:t>This contribution expounds on ideas put forth by a group of New York City genera</w:t>
      </w:r>
      <w:r>
        <w:rPr>
          <w:color w:val="221E1F"/>
          <w:sz w:val="18"/>
          <w:szCs w:val="18"/>
        </w:rPr>
        <w:softHyphen/>
        <w:t>tive grammarians that language possesses certain essential features that are uncaused and adhere to an abstract ideal form. An analogy of the situation with language is made with certain natural properties of numbers. It is also noted that this situation contrasts with that of the functional structure of human color vision. This idea is viewed alongside recent work in biolinguistics and is compared to the neoplaton</w:t>
      </w:r>
      <w:r>
        <w:rPr>
          <w:color w:val="221E1F"/>
          <w:sz w:val="18"/>
          <w:szCs w:val="18"/>
        </w:rPr>
        <w:softHyphen/>
        <w:t>ist view of language, namely that language is discovered by the child learner and not triggered. The main consequences of this idea are discussed both within the historical context and with respect to current theories on language acquisition.</w:t>
      </w:r>
    </w:p>
    <w:p w:rsidR="00557D9B" w:rsidRDefault="00557D9B" w:rsidP="00557D9B">
      <w:pPr>
        <w:pStyle w:val="Default"/>
        <w:spacing w:before="260" w:line="211" w:lineRule="atLeast"/>
        <w:jc w:val="both"/>
        <w:rPr>
          <w:color w:val="221E1F"/>
          <w:sz w:val="20"/>
          <w:szCs w:val="20"/>
        </w:rPr>
      </w:pPr>
      <w:r>
        <w:rPr>
          <w:color w:val="221E1F"/>
          <w:sz w:val="20"/>
          <w:szCs w:val="20"/>
        </w:rPr>
        <w:t>During the 1980s, an extreme idea about the ontology of language emerged amongst a group of New York City generative grammarians. Jerry Katz wrote several articles and then a book, “Language and other abstract objects” (1981). In this work, he out</w:t>
      </w:r>
      <w:r>
        <w:rPr>
          <w:color w:val="221E1F"/>
          <w:sz w:val="20"/>
          <w:szCs w:val="20"/>
        </w:rPr>
        <w:softHyphen/>
        <w:t>lined his arguments for the notion that certain aspects of the essential features of lan</w:t>
      </w:r>
      <w:r>
        <w:rPr>
          <w:color w:val="221E1F"/>
          <w:sz w:val="20"/>
          <w:szCs w:val="20"/>
        </w:rPr>
        <w:softHyphen/>
        <w:t>guage have a natural form, and hence are uncaused in the usual sense of causation. He likened this view to Plato’s notions of ideal form, and suggested that certain as</w:t>
      </w:r>
      <w:r>
        <w:rPr>
          <w:color w:val="221E1F"/>
          <w:sz w:val="20"/>
          <w:szCs w:val="20"/>
        </w:rPr>
        <w:softHyphen/>
        <w:t xml:space="preserve">pects of language exhibit such an ideal form. </w:t>
      </w:r>
    </w:p>
    <w:p w:rsidR="00557D9B" w:rsidRDefault="00557D9B" w:rsidP="00557D9B">
      <w:pPr>
        <w:pStyle w:val="Pa6"/>
        <w:jc w:val="both"/>
        <w:rPr>
          <w:rFonts w:cs="Minion Pro"/>
          <w:color w:val="221E1F"/>
          <w:sz w:val="20"/>
          <w:szCs w:val="20"/>
        </w:rPr>
      </w:pPr>
      <w:r>
        <w:rPr>
          <w:rFonts w:cs="Minion Pro"/>
          <w:color w:val="221E1F"/>
          <w:sz w:val="20"/>
          <w:szCs w:val="20"/>
        </w:rPr>
        <w:t>The obvious analogy is to properties of number. There is no physical cause that explains why/how functional relations between numbers have particular properties: why/how 2+2 = 4, why/how the square root of 4 is 2, why/how the difference between 0 and 2 is the same as between 2 and 4, etc. Most important, the number of numbers is not countable but transfinite: a fact like that clearly suggests (and for many, proves) that, wherever numbers come from, it is not from human cognition — we can imag</w:t>
      </w:r>
      <w:r>
        <w:rPr>
          <w:rFonts w:cs="Minion Pro"/>
          <w:color w:val="221E1F"/>
          <w:sz w:val="20"/>
          <w:szCs w:val="20"/>
        </w:rPr>
        <w:softHyphen/>
        <w:t>ine counting to the highest immediate infinity, given enough time: but human no</w:t>
      </w:r>
      <w:r>
        <w:rPr>
          <w:rFonts w:cs="Minion Pro"/>
          <w:color w:val="221E1F"/>
          <w:sz w:val="20"/>
          <w:szCs w:val="20"/>
        </w:rPr>
        <w:softHyphen/>
        <w:t xml:space="preserve">tions of time in which to count are transcended by the number of numbers. </w:t>
      </w:r>
    </w:p>
    <w:p w:rsidR="00557D9B" w:rsidRDefault="00557D9B" w:rsidP="00557D9B">
      <w:pPr>
        <w:pStyle w:val="Pa6"/>
        <w:jc w:val="both"/>
        <w:rPr>
          <w:rFonts w:cs="Minion Pro"/>
          <w:color w:val="221E1F"/>
          <w:sz w:val="21"/>
          <w:szCs w:val="21"/>
        </w:rPr>
      </w:pPr>
      <w:r>
        <w:rPr>
          <w:rFonts w:cs="Minion Pro"/>
          <w:color w:val="221E1F"/>
          <w:sz w:val="21"/>
          <w:szCs w:val="21"/>
        </w:rPr>
        <w:t>This situation contrasts with the cause of the functional structure of human color vision: red is the opposite of green and blue the opposite of yellow (in each case they merge to grey) for neurochemical reasons, which may in turn have an inter</w:t>
      </w:r>
      <w:r>
        <w:rPr>
          <w:rFonts w:cs="Minion Pro"/>
          <w:color w:val="221E1F"/>
          <w:sz w:val="21"/>
          <w:szCs w:val="21"/>
        </w:rPr>
        <w:softHyphen/>
        <w:t>esting evolutionary basis (see Shepard 1997). The point is that the functional struc</w:t>
      </w:r>
      <w:r>
        <w:rPr>
          <w:rFonts w:cs="Minion Pro"/>
          <w:color w:val="221E1F"/>
          <w:sz w:val="21"/>
          <w:szCs w:val="21"/>
        </w:rPr>
        <w:softHyphen/>
        <w:t>ture of certain biological or physical phenomena can be codified and understood, even used practically, long before the physical basis is determined or at least given a mechanistic theory (notorious cases include the gene theory and the periodic table of elements). But the fact that these theories have an articulated and predictive func</w:t>
      </w:r>
      <w:r>
        <w:rPr>
          <w:rFonts w:cs="Minion Pro"/>
          <w:color w:val="221E1F"/>
          <w:sz w:val="21"/>
          <w:szCs w:val="21"/>
        </w:rPr>
        <w:softHyphen/>
      </w:r>
    </w:p>
    <w:p w:rsidR="00557D9B" w:rsidRDefault="00557D9B" w:rsidP="00557D9B">
      <w:pPr>
        <w:pStyle w:val="Default"/>
        <w:pageBreakBefore/>
        <w:spacing w:line="181" w:lineRule="atLeast"/>
        <w:jc w:val="both"/>
        <w:rPr>
          <w:color w:val="221E1F"/>
          <w:sz w:val="18"/>
          <w:szCs w:val="18"/>
        </w:rPr>
      </w:pPr>
      <w:r>
        <w:rPr>
          <w:rFonts w:ascii="Minion Pro SmBd" w:hAnsi="Minion Pro SmBd" w:cs="Minion Pro SmBd"/>
          <w:b/>
          <w:bCs/>
          <w:color w:val="221E1F"/>
          <w:sz w:val="18"/>
          <w:szCs w:val="18"/>
        </w:rPr>
        <w:t xml:space="preserve">228 </w:t>
      </w:r>
      <w:r>
        <w:rPr>
          <w:color w:val="221E1F"/>
          <w:sz w:val="18"/>
          <w:szCs w:val="18"/>
        </w:rPr>
        <w:t>T. G. Bever</w:t>
      </w:r>
    </w:p>
    <w:p w:rsidR="00557D9B" w:rsidRDefault="00557D9B" w:rsidP="00557D9B">
      <w:pPr>
        <w:pStyle w:val="Pa6"/>
        <w:jc w:val="both"/>
        <w:rPr>
          <w:rFonts w:cs="Minion Pro"/>
          <w:color w:val="221E1F"/>
          <w:sz w:val="19"/>
          <w:szCs w:val="19"/>
        </w:rPr>
      </w:pPr>
      <w:r>
        <w:rPr>
          <w:rFonts w:cs="Minion Pro"/>
          <w:color w:val="221E1F"/>
          <w:sz w:val="19"/>
          <w:szCs w:val="19"/>
        </w:rPr>
        <w:t>tional structure does not mean that they are inevitably abstract or uncaused — the ‘true’ cause is eventually unearthed. But in the case of numbers, the ‘true’ cause ap</w:t>
      </w:r>
      <w:r>
        <w:rPr>
          <w:rFonts w:cs="Minion Pro"/>
          <w:color w:val="221E1F"/>
          <w:sz w:val="19"/>
          <w:szCs w:val="19"/>
        </w:rPr>
        <w:softHyphen/>
        <w:t>pears intractably abstract. Our intuition insists that 2+2 = 4, or that the right tri</w:t>
      </w:r>
      <w:r>
        <w:rPr>
          <w:rFonts w:cs="Minion Pro"/>
          <w:color w:val="221E1F"/>
          <w:sz w:val="19"/>
          <w:szCs w:val="19"/>
        </w:rPr>
        <w:softHyphen/>
        <w:t>angle’s hypotenuse is the root of the sum of the squares of the other two sides, long before humans discovered such facts, and will persist without possible counter dem</w:t>
      </w:r>
      <w:r>
        <w:rPr>
          <w:rFonts w:cs="Minion Pro"/>
          <w:color w:val="221E1F"/>
          <w:sz w:val="19"/>
          <w:szCs w:val="19"/>
        </w:rPr>
        <w:softHyphen/>
        <w:t>onstration, after humans have disappeared. In the case of the essence of language, Katz applied roughly the corresponding form of argument for Platonism used in mathematics: Natural language has formal properties independent of us, it is ab</w:t>
      </w:r>
      <w:r>
        <w:rPr>
          <w:rFonts w:cs="Minion Pro"/>
          <w:color w:val="221E1F"/>
          <w:sz w:val="19"/>
          <w:szCs w:val="19"/>
        </w:rPr>
        <w:softHyphen/>
        <w:t xml:space="preserve">stract, and we come to know it via intuition. </w:t>
      </w:r>
    </w:p>
    <w:p w:rsidR="00557D9B" w:rsidRDefault="00557D9B" w:rsidP="00557D9B">
      <w:pPr>
        <w:pStyle w:val="Pa6"/>
        <w:jc w:val="both"/>
        <w:rPr>
          <w:rFonts w:cs="Minion Pro"/>
          <w:color w:val="221E1F"/>
          <w:sz w:val="19"/>
          <w:szCs w:val="19"/>
        </w:rPr>
      </w:pPr>
      <w:r>
        <w:rPr>
          <w:rFonts w:cs="Minion Pro"/>
          <w:color w:val="221E1F"/>
          <w:sz w:val="19"/>
          <w:szCs w:val="19"/>
        </w:rPr>
        <w:t>Langendoen and Postal (1984) were interested in the idea, and developed a form of proof that language has properties independent of us. Their achieve</w:t>
      </w:r>
      <w:r>
        <w:rPr>
          <w:rFonts w:cs="Minion Pro"/>
          <w:color w:val="221E1F"/>
          <w:sz w:val="19"/>
          <w:szCs w:val="19"/>
        </w:rPr>
        <w:softHyphen/>
        <w:t>ment was to show that the number of sentences is not countable, but is transfi</w:t>
      </w:r>
      <w:r>
        <w:rPr>
          <w:rFonts w:cs="Minion Pro"/>
          <w:color w:val="221E1F"/>
          <w:sz w:val="19"/>
          <w:szCs w:val="19"/>
        </w:rPr>
        <w:softHyphen/>
        <w:t>nite, just as in the case of numbers themselves. Chomsky had often used the idea that the number of sentences is countably infinite to show that what people know when they know a language has to be governed by learned generative rules, not a finite list of sentences. Langendoen and Postal’s took their formal demonstra</w:t>
      </w:r>
      <w:r>
        <w:rPr>
          <w:rFonts w:cs="Minion Pro"/>
          <w:color w:val="221E1F"/>
          <w:sz w:val="19"/>
          <w:szCs w:val="19"/>
        </w:rPr>
        <w:softHyphen/>
        <w:t xml:space="preserve">tion to argue that the situation is even more extreme: the number of sentences is not merely countably infinite, it transcends any human counting mechanism, just like numbers. Thus, language has its own properties, properties that existed before humans discovered and applied some of those properties for their own purposes, and properties that will persist after humans have disappeared. </w:t>
      </w:r>
    </w:p>
    <w:p w:rsidR="00557D9B" w:rsidRDefault="00557D9B" w:rsidP="00557D9B">
      <w:pPr>
        <w:pStyle w:val="Pa6"/>
        <w:jc w:val="both"/>
        <w:rPr>
          <w:rFonts w:cs="Minion Pro"/>
          <w:color w:val="221E1F"/>
          <w:sz w:val="21"/>
          <w:szCs w:val="21"/>
        </w:rPr>
      </w:pPr>
      <w:r>
        <w:rPr>
          <w:rFonts w:cs="Minion Pro"/>
          <w:color w:val="221E1F"/>
          <w:sz w:val="21"/>
          <w:szCs w:val="21"/>
        </w:rPr>
        <w:t>I lived in the same milieu as Katz, Langendoen and Postal (albeit further up</w:t>
      </w:r>
      <w:r>
        <w:rPr>
          <w:rFonts w:cs="Minion Pro"/>
          <w:color w:val="221E1F"/>
          <w:sz w:val="21"/>
          <w:szCs w:val="21"/>
        </w:rPr>
        <w:softHyphen/>
        <w:t>town than the first two) and added my own contribution to the ‘Platonic’ idea by exploring some psychological implications of the notion of language structure as uncaused. The idea was particularly intriguing because it cast a distinct light on the problem of language acquisition relevant for the zeitgeist: the current view was that the child re-creates language based on critical cues from the speech that it hears, which trigger options on a number of innately predefined dimensions. This model (basically an early version of parameter setting) was (and is) extreme</w:t>
      </w:r>
      <w:r>
        <w:rPr>
          <w:rFonts w:cs="Minion Pro"/>
          <w:color w:val="221E1F"/>
          <w:sz w:val="21"/>
          <w:szCs w:val="21"/>
        </w:rPr>
        <w:softHyphen/>
        <w:t>ly elaborate, since the kind of linguistic model to be accounted for — government and binding - was a complex set of distinct ‘theories’ (e.g., case theory, govern</w:t>
      </w:r>
      <w:r>
        <w:rPr>
          <w:rFonts w:cs="Minion Pro"/>
          <w:color w:val="221E1F"/>
          <w:sz w:val="21"/>
          <w:szCs w:val="21"/>
        </w:rPr>
        <w:softHyphen/>
        <w:t>ment, theta role theory…) and levels of representation, (DS, SS, Logical form…). and complex movement rules organizing the relation between levels. Meaning was in part read off of the logical form, in part off the surface form. Parameter setting is a model that attempts to show how learning such a complex architecture is pos</w:t>
      </w:r>
      <w:r>
        <w:rPr>
          <w:rFonts w:cs="Minion Pro"/>
          <w:color w:val="221E1F"/>
          <w:sz w:val="21"/>
          <w:szCs w:val="21"/>
        </w:rPr>
        <w:softHyphen/>
        <w:t>sible in the absence of clear cues to that structure in what the child hears. Para</w:t>
      </w:r>
      <w:r>
        <w:rPr>
          <w:rFonts w:cs="Minion Pro"/>
          <w:color w:val="221E1F"/>
          <w:sz w:val="21"/>
          <w:szCs w:val="21"/>
        </w:rPr>
        <w:softHyphen/>
        <w:t>meter setting today remains to be developed even as a logically possible mod</w:t>
      </w:r>
      <w:r>
        <w:rPr>
          <w:rFonts w:cs="Minion Pro"/>
          <w:color w:val="221E1F"/>
          <w:sz w:val="21"/>
          <w:szCs w:val="21"/>
        </w:rPr>
        <w:softHyphen/>
        <w:t>el, although recent investigations have made substantial progress in outlining the nature of the data that the child must experience and note for such a program to work. (Fodor 1998, 2001; Fodor and Sakas 2004).</w:t>
      </w:r>
    </w:p>
    <w:p w:rsidR="00557D9B" w:rsidRDefault="00557D9B" w:rsidP="00557D9B">
      <w:pPr>
        <w:pStyle w:val="Default"/>
        <w:pageBreakBefore/>
        <w:spacing w:line="181" w:lineRule="atLeast"/>
        <w:jc w:val="right"/>
        <w:rPr>
          <w:rFonts w:ascii="Minion Pro SmBd" w:hAnsi="Minion Pro SmBd" w:cs="Minion Pro SmBd"/>
          <w:color w:val="221E1F"/>
          <w:sz w:val="18"/>
          <w:szCs w:val="18"/>
        </w:rPr>
      </w:pPr>
      <w:r>
        <w:rPr>
          <w:color w:val="221E1F"/>
          <w:sz w:val="18"/>
          <w:szCs w:val="18"/>
        </w:rPr>
        <w:t xml:space="preserve">Chapter 11. Biolinguistics and Platonism </w:t>
      </w:r>
      <w:r>
        <w:rPr>
          <w:rFonts w:ascii="Minion Pro SmBd" w:hAnsi="Minion Pro SmBd" w:cs="Minion Pro SmBd"/>
          <w:b/>
          <w:bCs/>
          <w:color w:val="221E1F"/>
          <w:sz w:val="18"/>
          <w:szCs w:val="18"/>
        </w:rPr>
        <w:t xml:space="preserve">229 </w:t>
      </w:r>
    </w:p>
    <w:p w:rsidR="00557D9B" w:rsidRDefault="00557D9B" w:rsidP="00557D9B">
      <w:pPr>
        <w:pStyle w:val="Pa6"/>
        <w:jc w:val="both"/>
        <w:rPr>
          <w:rFonts w:cs="Minion Pro"/>
          <w:color w:val="221E1F"/>
          <w:sz w:val="21"/>
          <w:szCs w:val="21"/>
        </w:rPr>
      </w:pPr>
      <w:r>
        <w:rPr>
          <w:rFonts w:cs="Minion Pro"/>
          <w:color w:val="221E1F"/>
          <w:sz w:val="21"/>
          <w:szCs w:val="21"/>
        </w:rPr>
        <w:t xml:space="preserve">The neoplatonist view proposed by Katz, Langendoen and Postal seemed to cut through this complexity. On the neoplatonist view, language is </w:t>
      </w:r>
      <w:r>
        <w:rPr>
          <w:rFonts w:cs="Minion Pro"/>
          <w:i/>
          <w:iCs/>
          <w:color w:val="221E1F"/>
          <w:sz w:val="21"/>
          <w:szCs w:val="21"/>
        </w:rPr>
        <w:t xml:space="preserve">discovered </w:t>
      </w:r>
      <w:r>
        <w:rPr>
          <w:rFonts w:cs="Minion Pro"/>
          <w:color w:val="221E1F"/>
          <w:sz w:val="21"/>
          <w:szCs w:val="21"/>
        </w:rPr>
        <w:t xml:space="preserve">by the child, not </w:t>
      </w:r>
      <w:r>
        <w:rPr>
          <w:rFonts w:cs="Minion Pro"/>
          <w:i/>
          <w:iCs/>
          <w:color w:val="221E1F"/>
          <w:sz w:val="21"/>
          <w:szCs w:val="21"/>
        </w:rPr>
        <w:t>triggered</w:t>
      </w:r>
      <w:r>
        <w:rPr>
          <w:rFonts w:cs="Minion Pro"/>
          <w:color w:val="221E1F"/>
          <w:sz w:val="21"/>
          <w:szCs w:val="21"/>
        </w:rPr>
        <w:t>: Just as the child (allegedly) discovers the concept of number or naïve physics or the moon because those entities exist outside the child, the child discovers the true essence of language because it is real and external to the child. This framed the language acquisition problem quite differently from the idea that the child has it already innately prefigured and is only waiting for specific cues to clarify which of the innate parametric options are relevant for its particu</w:t>
      </w:r>
      <w:r>
        <w:rPr>
          <w:rFonts w:cs="Minion Pro"/>
          <w:color w:val="221E1F"/>
          <w:sz w:val="21"/>
          <w:szCs w:val="21"/>
        </w:rPr>
        <w:softHyphen/>
        <w:t>lar language. At the time, I noted that this has several consequences (Bever 1982):</w:t>
      </w:r>
    </w:p>
    <w:p w:rsidR="00557D9B" w:rsidRDefault="00557D9B" w:rsidP="00557D9B">
      <w:pPr>
        <w:pStyle w:val="Default"/>
        <w:spacing w:before="120" w:line="211" w:lineRule="atLeast"/>
        <w:jc w:val="both"/>
        <w:rPr>
          <w:color w:val="221E1F"/>
          <w:sz w:val="20"/>
          <w:szCs w:val="20"/>
        </w:rPr>
      </w:pPr>
      <w:r>
        <w:rPr>
          <w:color w:val="221E1F"/>
          <w:sz w:val="20"/>
          <w:szCs w:val="20"/>
        </w:rPr>
        <w:t>(a) The ‘poverty of the stimulus’ presented to the child remains the central prob</w:t>
      </w:r>
      <w:r>
        <w:rPr>
          <w:color w:val="221E1F"/>
          <w:sz w:val="20"/>
          <w:szCs w:val="20"/>
        </w:rPr>
        <w:softHyphen/>
        <w:t>lem of language acquisition. If language is to be discovered and learned (not automatically triggered), the child must have learning mechanisms more con</w:t>
      </w:r>
      <w:r>
        <w:rPr>
          <w:color w:val="221E1F"/>
          <w:sz w:val="20"/>
          <w:szCs w:val="20"/>
        </w:rPr>
        <w:softHyphen/>
        <w:t>structive than associative connectionism. It may also have innate mechanisms that point it to the correct kind of grammatical structures, while not causing those structures.</w:t>
      </w:r>
    </w:p>
    <w:p w:rsidR="00557D9B" w:rsidRDefault="00557D9B" w:rsidP="00557D9B">
      <w:pPr>
        <w:pStyle w:val="Pa6"/>
        <w:jc w:val="both"/>
        <w:rPr>
          <w:rFonts w:cs="Minion Pro"/>
          <w:color w:val="221E1F"/>
          <w:sz w:val="21"/>
          <w:szCs w:val="21"/>
        </w:rPr>
      </w:pPr>
      <w:r>
        <w:rPr>
          <w:rFonts w:cs="Minion Pro"/>
          <w:color w:val="221E1F"/>
          <w:sz w:val="21"/>
          <w:szCs w:val="21"/>
        </w:rPr>
        <w:t xml:space="preserve">(b) Conversely, the language learning child may be capable of making false </w:t>
      </w:r>
      <w:r>
        <w:rPr>
          <w:rFonts w:cs="Minion Pro"/>
          <w:i/>
          <w:iCs/>
          <w:color w:val="221E1F"/>
          <w:sz w:val="21"/>
          <w:szCs w:val="21"/>
        </w:rPr>
        <w:t xml:space="preserve">kinds </w:t>
      </w:r>
      <w:r>
        <w:rPr>
          <w:rFonts w:cs="Minion Pro"/>
          <w:color w:val="221E1F"/>
          <w:sz w:val="21"/>
          <w:szCs w:val="21"/>
        </w:rPr>
        <w:t>of hypotheses about the language it is learning. That is, if possible languages are not pre-configured within the child’s cognition, it may create impossible hypotheses on its way to mastering its language correctly.</w:t>
      </w:r>
    </w:p>
    <w:p w:rsidR="00557D9B" w:rsidRDefault="00557D9B" w:rsidP="00557D9B">
      <w:pPr>
        <w:pStyle w:val="Default"/>
        <w:spacing w:after="120" w:line="211" w:lineRule="atLeast"/>
        <w:jc w:val="both"/>
        <w:rPr>
          <w:color w:val="221E1F"/>
          <w:sz w:val="21"/>
          <w:szCs w:val="21"/>
        </w:rPr>
      </w:pPr>
      <w:r>
        <w:rPr>
          <w:color w:val="221E1F"/>
          <w:sz w:val="21"/>
          <w:szCs w:val="21"/>
        </w:rPr>
        <w:t>(c) There must be structurally possible languages that are not attested because they cannot be learned via normal language learning mechanisms.</w:t>
      </w:r>
    </w:p>
    <w:p w:rsidR="00557D9B" w:rsidRDefault="00557D9B" w:rsidP="00557D9B">
      <w:pPr>
        <w:pStyle w:val="Pa6"/>
        <w:jc w:val="both"/>
        <w:rPr>
          <w:rFonts w:cs="Minion Pro"/>
          <w:color w:val="221E1F"/>
          <w:sz w:val="18"/>
          <w:szCs w:val="18"/>
        </w:rPr>
      </w:pPr>
      <w:r>
        <w:rPr>
          <w:rFonts w:cs="Minion Pro"/>
          <w:color w:val="221E1F"/>
          <w:sz w:val="21"/>
          <w:szCs w:val="21"/>
        </w:rPr>
        <w:t>To answer (a), I suggested an hypothesis-testing model of acquisition which ac</w:t>
      </w:r>
      <w:r>
        <w:rPr>
          <w:rFonts w:cs="Minion Pro"/>
          <w:color w:val="221E1F"/>
          <w:sz w:val="21"/>
          <w:szCs w:val="21"/>
        </w:rPr>
        <w:softHyphen/>
        <w:t>cesses abstract concepts to resolve conflicts in representation. The flagship model was the acquisition of the concept of number. Since the 1930s, it was known that children go through several phases of mastery of numbers. At one point, they are confused about the relationship between the number of objects in an array and the apparent size of the array — they accept the view that if an array is changed to look larger (to adult eyes), it is assessed as having ‘more’ than before: at the same time if you take one of the objects away, now the child volunteers that it has ‘less’ than be</w:t>
      </w:r>
      <w:r>
        <w:rPr>
          <w:rFonts w:cs="Minion Pro"/>
          <w:color w:val="221E1F"/>
          <w:sz w:val="21"/>
          <w:szCs w:val="21"/>
        </w:rPr>
        <w:softHyphen/>
        <w:t>fore. This is a representational conflict: stretching an array makes it have more, tak</w:t>
      </w:r>
      <w:r>
        <w:rPr>
          <w:rFonts w:cs="Minion Pro"/>
          <w:color w:val="221E1F"/>
          <w:sz w:val="21"/>
          <w:szCs w:val="21"/>
        </w:rPr>
        <w:softHyphen/>
        <w:t>ing one object away makes it have less. The ultimate resolution is to access the con</w:t>
      </w:r>
      <w:r>
        <w:rPr>
          <w:rFonts w:cs="Minion Pro"/>
          <w:color w:val="221E1F"/>
          <w:sz w:val="21"/>
          <w:szCs w:val="21"/>
        </w:rPr>
        <w:softHyphen/>
        <w:t>cept of the invariance of number under physical transformation of shape. At the time, I argued that since the properties of numbers are not caused, the child is dis</w:t>
      </w:r>
      <w:r>
        <w:rPr>
          <w:rFonts w:cs="Minion Pro"/>
          <w:color w:val="221E1F"/>
          <w:sz w:val="21"/>
          <w:szCs w:val="21"/>
        </w:rPr>
        <w:softHyphen/>
        <w:t xml:space="preserve">covering an abstract and ‘real’ set of properties. Since then, cognitive neurologists such as S. Dehaene (1997) have elucidated many demonstrations that the number </w:t>
      </w:r>
      <w:r>
        <w:rPr>
          <w:rFonts w:cs="Minion Pro"/>
          <w:i/>
          <w:iCs/>
          <w:color w:val="221E1F"/>
          <w:sz w:val="21"/>
          <w:szCs w:val="21"/>
        </w:rPr>
        <w:t xml:space="preserve">concept </w:t>
      </w:r>
      <w:r>
        <w:rPr>
          <w:rFonts w:cs="Minion Pro"/>
          <w:color w:val="221E1F"/>
          <w:sz w:val="21"/>
          <w:szCs w:val="21"/>
        </w:rPr>
        <w:t>itself has innate neurological foundations in humans which he claims both enable and circumscribe its possible forms. Dehaene suggests that the biological</w:t>
      </w:r>
      <w:r>
        <w:rPr>
          <w:rFonts w:cs="Minion Pro"/>
          <w:color w:val="221E1F"/>
          <w:sz w:val="21"/>
          <w:szCs w:val="21"/>
        </w:rPr>
        <w:softHyphen/>
        <w:t>ly based simple number concept — available in similar inchoate form to some ani</w:t>
      </w:r>
      <w:r>
        <w:rPr>
          <w:rFonts w:cs="Minion Pro"/>
          <w:color w:val="221E1F"/>
          <w:sz w:val="21"/>
          <w:szCs w:val="21"/>
        </w:rPr>
        <w:softHyphen/>
        <w:t>mals — evolved as a functional capacity adapted to a world that our perceptual sys</w:t>
      </w:r>
      <w:r>
        <w:rPr>
          <w:rFonts w:cs="Minion Pro"/>
          <w:color w:val="221E1F"/>
          <w:sz w:val="21"/>
          <w:szCs w:val="21"/>
        </w:rPr>
        <w:softHyphen/>
      </w:r>
      <w:r>
        <w:rPr>
          <w:rFonts w:ascii="Minion Pro SmBd" w:hAnsi="Minion Pro SmBd" w:cs="Minion Pro SmBd"/>
          <w:b/>
          <w:bCs/>
          <w:color w:val="221E1F"/>
          <w:sz w:val="18"/>
          <w:szCs w:val="18"/>
        </w:rPr>
        <w:t xml:space="preserve">230 </w:t>
      </w:r>
      <w:r>
        <w:rPr>
          <w:rFonts w:cs="Minion Pro"/>
          <w:color w:val="221E1F"/>
          <w:sz w:val="18"/>
          <w:szCs w:val="18"/>
        </w:rPr>
        <w:t xml:space="preserve">T. G. Bever </w:t>
      </w:r>
    </w:p>
    <w:p w:rsidR="00557D9B" w:rsidRDefault="00557D9B" w:rsidP="00557D9B">
      <w:pPr>
        <w:pStyle w:val="Pa6"/>
        <w:pageBreakBefore/>
        <w:jc w:val="both"/>
        <w:rPr>
          <w:rFonts w:cs="Minion Pro"/>
          <w:color w:val="221E1F"/>
          <w:sz w:val="21"/>
          <w:szCs w:val="21"/>
        </w:rPr>
      </w:pPr>
      <w:r>
        <w:rPr>
          <w:rFonts w:cs="Minion Pro"/>
          <w:color w:val="221E1F"/>
          <w:sz w:val="21"/>
          <w:szCs w:val="21"/>
        </w:rPr>
        <w:t xml:space="preserve">tem resolves into discrete objects. In fact, he argues directly that the basic number concept </w:t>
      </w:r>
      <w:r>
        <w:rPr>
          <w:rFonts w:cs="Minion Pro"/>
          <w:i/>
          <w:iCs/>
          <w:color w:val="221E1F"/>
          <w:sz w:val="21"/>
          <w:szCs w:val="21"/>
        </w:rPr>
        <w:t xml:space="preserve">is </w:t>
      </w:r>
      <w:r>
        <w:rPr>
          <w:rFonts w:cs="Minion Pro"/>
          <w:color w:val="221E1F"/>
          <w:sz w:val="21"/>
          <w:szCs w:val="21"/>
        </w:rPr>
        <w:t xml:space="preserve">exactly like color vision — humans are innately wired to segment the world into objects and to differentiate amongst small numbers of those objects. </w:t>
      </w:r>
    </w:p>
    <w:p w:rsidR="00557D9B" w:rsidRDefault="00557D9B" w:rsidP="00557D9B">
      <w:pPr>
        <w:pStyle w:val="Pa6"/>
        <w:jc w:val="both"/>
        <w:rPr>
          <w:rFonts w:cs="Minion Pro"/>
          <w:color w:val="221E1F"/>
          <w:sz w:val="20"/>
          <w:szCs w:val="20"/>
        </w:rPr>
      </w:pPr>
      <w:r>
        <w:rPr>
          <w:rFonts w:cs="Minion Pro"/>
          <w:color w:val="221E1F"/>
          <w:sz w:val="20"/>
          <w:szCs w:val="20"/>
        </w:rPr>
        <w:t xml:space="preserve">This casts a new light on the claim that children discover an abstract platonic form for numbers — it is now arguable that children </w:t>
      </w:r>
      <w:r>
        <w:rPr>
          <w:rFonts w:cs="Minion Pro"/>
          <w:i/>
          <w:iCs/>
          <w:color w:val="221E1F"/>
          <w:sz w:val="20"/>
          <w:szCs w:val="20"/>
        </w:rPr>
        <w:t xml:space="preserve">apply </w:t>
      </w:r>
      <w:r>
        <w:rPr>
          <w:rFonts w:cs="Minion Pro"/>
          <w:color w:val="221E1F"/>
          <w:sz w:val="20"/>
          <w:szCs w:val="20"/>
        </w:rPr>
        <w:t>a neurologically pre</w:t>
      </w:r>
      <w:r>
        <w:rPr>
          <w:rFonts w:cs="Minion Pro"/>
          <w:color w:val="221E1F"/>
          <w:sz w:val="20"/>
          <w:szCs w:val="20"/>
        </w:rPr>
        <w:softHyphen/>
        <w:t>disposition to categorize the world not only in terms of objects in it, but in terms of number of similar objects. But it leaves open what the critical experiences are that stimulate the child to access that capacity. It remains the case that children go through a phase of mathematical inconsistency before arriving at a stable number concept: hence, we can still infer that the concept is accessed as a resolution of con</w:t>
      </w:r>
      <w:r>
        <w:rPr>
          <w:rFonts w:cs="Minion Pro"/>
          <w:color w:val="221E1F"/>
          <w:sz w:val="20"/>
          <w:szCs w:val="20"/>
        </w:rPr>
        <w:softHyphen/>
        <w:t xml:space="preserve">flicting representations. </w:t>
      </w:r>
    </w:p>
    <w:p w:rsidR="00557D9B" w:rsidRDefault="00557D9B" w:rsidP="00557D9B">
      <w:pPr>
        <w:pStyle w:val="Pa6"/>
        <w:jc w:val="both"/>
        <w:rPr>
          <w:rFonts w:cs="Minion Pro"/>
          <w:color w:val="221E1F"/>
          <w:sz w:val="19"/>
          <w:szCs w:val="19"/>
        </w:rPr>
      </w:pPr>
      <w:r>
        <w:rPr>
          <w:rFonts w:cs="Minion Pro"/>
          <w:color w:val="221E1F"/>
          <w:sz w:val="19"/>
          <w:szCs w:val="19"/>
        </w:rPr>
        <w:t>What are the implications of all this for language acquisition? Dehaene’s dis</w:t>
      </w:r>
      <w:r>
        <w:rPr>
          <w:rFonts w:cs="Minion Pro"/>
          <w:color w:val="221E1F"/>
          <w:sz w:val="19"/>
          <w:szCs w:val="19"/>
        </w:rPr>
        <w:softHyphen/>
        <w:t>coveries of specific brain areas devoted to the early development of number con</w:t>
      </w:r>
      <w:r>
        <w:rPr>
          <w:rFonts w:cs="Minion Pro"/>
          <w:color w:val="221E1F"/>
          <w:sz w:val="19"/>
          <w:szCs w:val="19"/>
        </w:rPr>
        <w:softHyphen/>
        <w:t xml:space="preserve">cepts may be elegant and surprising science, but we already knew well that there are specific brain areas devoted to language. What we do </w:t>
      </w:r>
      <w:r>
        <w:rPr>
          <w:rFonts w:cs="Minion Pro"/>
          <w:i/>
          <w:iCs/>
          <w:color w:val="221E1F"/>
          <w:sz w:val="19"/>
          <w:szCs w:val="19"/>
        </w:rPr>
        <w:t xml:space="preserve">not </w:t>
      </w:r>
      <w:r>
        <w:rPr>
          <w:rFonts w:cs="Minion Pro"/>
          <w:color w:val="221E1F"/>
          <w:sz w:val="19"/>
          <w:szCs w:val="19"/>
        </w:rPr>
        <w:t>know is whether these areas are predisposed to cause language, or are special mechanisms available to discover it. The basic learning issue remains — is there a special learning device for language, or is it the outcome of the combination of a general hypothesis test</w:t>
      </w:r>
      <w:r>
        <w:rPr>
          <w:rFonts w:cs="Minion Pro"/>
          <w:color w:val="221E1F"/>
          <w:sz w:val="19"/>
          <w:szCs w:val="19"/>
        </w:rPr>
        <w:softHyphen/>
        <w:t>ing model, in combination with a large symbolic capacity and special tuning to ac</w:t>
      </w:r>
      <w:r>
        <w:rPr>
          <w:rFonts w:cs="Minion Pro"/>
          <w:color w:val="221E1F"/>
          <w:sz w:val="19"/>
          <w:szCs w:val="19"/>
        </w:rPr>
        <w:softHyphen/>
        <w:t>cess particular linguistic architectures that provide consistent cognitive represen</w:t>
      </w:r>
      <w:r>
        <w:rPr>
          <w:rFonts w:cs="Minion Pro"/>
          <w:color w:val="221E1F"/>
          <w:sz w:val="19"/>
          <w:szCs w:val="19"/>
        </w:rPr>
        <w:softHyphen/>
        <w:t xml:space="preserve">tations of languages? </w:t>
      </w:r>
    </w:p>
    <w:p w:rsidR="00557D9B" w:rsidRDefault="00557D9B" w:rsidP="00557D9B">
      <w:pPr>
        <w:pStyle w:val="Pa6"/>
        <w:jc w:val="both"/>
        <w:rPr>
          <w:rFonts w:cs="Minion Pro"/>
          <w:color w:val="221E1F"/>
          <w:sz w:val="20"/>
          <w:szCs w:val="20"/>
        </w:rPr>
      </w:pPr>
      <w:r>
        <w:rPr>
          <w:rFonts w:cs="Minion Pro"/>
          <w:color w:val="221E1F"/>
          <w:sz w:val="20"/>
          <w:szCs w:val="20"/>
        </w:rPr>
        <w:t xml:space="preserve">The other two implications of language as an abstract object for learning also remain. Children may come to false kinds of hypotheses about their language — for example that every phrase is a sentence, or that there are only nouns and verbs. And it remains the case that there are many languages allowed by today’s syntax, which are not learnable or usable, for various reasons. </w:t>
      </w:r>
    </w:p>
    <w:p w:rsidR="00557D9B" w:rsidRDefault="00557D9B" w:rsidP="00557D9B">
      <w:pPr>
        <w:pStyle w:val="Pa6"/>
        <w:jc w:val="both"/>
        <w:rPr>
          <w:rFonts w:cs="Minion Pro"/>
          <w:color w:val="221E1F"/>
          <w:sz w:val="19"/>
          <w:szCs w:val="19"/>
        </w:rPr>
      </w:pPr>
      <w:r>
        <w:rPr>
          <w:rFonts w:cs="Minion Pro"/>
          <w:color w:val="221E1F"/>
          <w:sz w:val="19"/>
          <w:szCs w:val="19"/>
        </w:rPr>
        <w:t>What is the situation today? The notion of ‘biolinguistics’ has crystallized the idea that language has an essential structure, and that attested languages result from the interaction of that structure with interfaces, such as mechanisms for thought, acquisition, perception, production and associative memory (Hauser et al. 2002). The ‘essential structure’ of language has shrunk from the elaborate — almost Byz</w:t>
      </w:r>
      <w:r>
        <w:rPr>
          <w:rFonts w:cs="Minion Pro"/>
          <w:color w:val="221E1F"/>
          <w:sz w:val="19"/>
          <w:szCs w:val="19"/>
        </w:rPr>
        <w:softHyphen/>
        <w:t xml:space="preserve">antine — GB architecture, to a single recursive tree-building process — recursive merge — almost everything else about attested languages is being explored as the result of interfaces, abstract categories and the lexicon. If this proposal is correct, it opens up a different way of thinking about acquisition from triggering settings on innate parameters. In fact, it makes more plausible the idea that the child’s attested language is discovered via hypothesis testing, using variations on combinations of merge to reject and verify hypotheses created at the language interfaces. </w:t>
      </w:r>
    </w:p>
    <w:p w:rsidR="00557D9B" w:rsidRDefault="00557D9B" w:rsidP="00557D9B">
      <w:pPr>
        <w:pStyle w:val="Pa6"/>
        <w:jc w:val="both"/>
        <w:rPr>
          <w:rFonts w:ascii="Minion Pro SmBd" w:hAnsi="Minion Pro SmBd" w:cs="Minion Pro SmBd"/>
          <w:color w:val="221E1F"/>
          <w:sz w:val="18"/>
          <w:szCs w:val="18"/>
        </w:rPr>
      </w:pPr>
      <w:r>
        <w:rPr>
          <w:rFonts w:cs="Minion Pro"/>
          <w:color w:val="221E1F"/>
          <w:sz w:val="21"/>
          <w:szCs w:val="21"/>
        </w:rPr>
        <w:t>Indeed, the greater reliance on interface constraints confirms the impor</w:t>
      </w:r>
      <w:r>
        <w:rPr>
          <w:rFonts w:cs="Minion Pro"/>
          <w:color w:val="221E1F"/>
          <w:sz w:val="21"/>
          <w:szCs w:val="21"/>
        </w:rPr>
        <w:softHyphen/>
        <w:t xml:space="preserve">tance of the largely unstudied range of mental and neurological filters that can </w:t>
      </w:r>
      <w:r>
        <w:rPr>
          <w:rFonts w:cs="Minion Pro"/>
          <w:color w:val="221E1F"/>
          <w:sz w:val="18"/>
          <w:szCs w:val="18"/>
        </w:rPr>
        <w:t xml:space="preserve">Chapter 11. Biolinguistics and Platonism </w:t>
      </w:r>
      <w:r>
        <w:rPr>
          <w:rFonts w:ascii="Minion Pro SmBd" w:hAnsi="Minion Pro SmBd" w:cs="Minion Pro SmBd"/>
          <w:b/>
          <w:bCs/>
          <w:color w:val="221E1F"/>
          <w:sz w:val="18"/>
          <w:szCs w:val="18"/>
        </w:rPr>
        <w:t xml:space="preserve">231 </w:t>
      </w:r>
    </w:p>
    <w:p w:rsidR="00557D9B" w:rsidRDefault="00557D9B" w:rsidP="00557D9B">
      <w:pPr>
        <w:pStyle w:val="Pa6"/>
        <w:pageBreakBefore/>
        <w:jc w:val="both"/>
        <w:rPr>
          <w:rFonts w:cs="Minion Pro"/>
          <w:color w:val="221E1F"/>
          <w:sz w:val="18"/>
          <w:szCs w:val="18"/>
        </w:rPr>
      </w:pPr>
      <w:r>
        <w:rPr>
          <w:rFonts w:cs="Minion Pro"/>
          <w:color w:val="221E1F"/>
          <w:sz w:val="18"/>
          <w:szCs w:val="18"/>
        </w:rPr>
        <w:t>substantially narrow the search space for possible languages. It is interesting that Terry and I spent some time four decades ago exploring the role of statistically valid perceptual strategies in constraining attested languages — a radical notion at the time. We suggested that the counterpoint between systems of behavior such as perception, and systems of grammatical knowledge can explain certain dynamics of historical language change. Our major case study was the the emer</w:t>
      </w:r>
      <w:r>
        <w:rPr>
          <w:rFonts w:cs="Minion Pro"/>
          <w:color w:val="221E1F"/>
          <w:sz w:val="18"/>
          <w:szCs w:val="18"/>
        </w:rPr>
        <w:softHyphen/>
        <w:t>gence of the restriction on deleting the subject relative pronoun (who) in sub</w:t>
      </w:r>
      <w:r>
        <w:rPr>
          <w:rFonts w:cs="Minion Pro"/>
          <w:color w:val="221E1F"/>
          <w:sz w:val="18"/>
          <w:szCs w:val="18"/>
        </w:rPr>
        <w:softHyphen/>
        <w:t>ject relative clauses. In old English the equivalent could be deleted when the in</w:t>
      </w:r>
      <w:r>
        <w:rPr>
          <w:rFonts w:cs="Minion Pro"/>
          <w:color w:val="221E1F"/>
          <w:sz w:val="18"/>
          <w:szCs w:val="18"/>
        </w:rPr>
        <w:softHyphen/>
        <w:t>flection and agreement on the verb blocked a garden path in which the subject relative could be taken as the main independent clause. When the inflectional system of English was basically leveled, initial subject relative clauses became compelling garden paths, blocked only by requiring the subject relative pronoun to be explicit (but not the object relative pronoun, since deleting that did not create a substantial perceptual garden path) (Bever and Langendoen 1971, 1972). As part of our exploration of the role of behavioral systems, we also suggested that certain apparently grammatical constructions are actually ungrammatical, but allowed in the attested language because they are transparently interpretable speech errors created by normal processes of speech production (Langendoen and Bever 1973). Finally, together with Jerry Katz, we collected a set of reprint</w:t>
      </w:r>
      <w:r>
        <w:rPr>
          <w:rFonts w:cs="Minion Pro"/>
          <w:color w:val="221E1F"/>
          <w:sz w:val="18"/>
          <w:szCs w:val="18"/>
        </w:rPr>
        <w:softHyphen/>
        <w:t>ed and new articles outlining different ways in which behavioral and learning mechanisms constrain attested languages: presciently, we called the book “An in</w:t>
      </w:r>
      <w:r>
        <w:rPr>
          <w:rFonts w:cs="Minion Pro"/>
          <w:color w:val="221E1F"/>
          <w:sz w:val="18"/>
          <w:szCs w:val="18"/>
        </w:rPr>
        <w:softHyphen/>
        <w:t>tegrated theory of Linguistic Ability”, just because each article discussed the im</w:t>
      </w:r>
      <w:r>
        <w:rPr>
          <w:rFonts w:cs="Minion Pro"/>
          <w:color w:val="221E1F"/>
          <w:sz w:val="18"/>
          <w:szCs w:val="18"/>
        </w:rPr>
        <w:softHyphen/>
        <w:t xml:space="preserve">pact of one or another system of language use — what today are called ‘interfaces’, on apparent language structures. (Bever et al. 1976). </w:t>
      </w:r>
    </w:p>
    <w:p w:rsidR="00557D9B" w:rsidRDefault="00557D9B" w:rsidP="00557D9B">
      <w:pPr>
        <w:pStyle w:val="Pa6"/>
        <w:jc w:val="both"/>
        <w:rPr>
          <w:rFonts w:cs="Minion Pro"/>
          <w:color w:val="221E1F"/>
          <w:sz w:val="19"/>
          <w:szCs w:val="19"/>
        </w:rPr>
      </w:pPr>
      <w:r>
        <w:rPr>
          <w:rFonts w:cs="Minion Pro"/>
          <w:color w:val="221E1F"/>
          <w:sz w:val="19"/>
          <w:szCs w:val="19"/>
        </w:rPr>
        <w:t>More recently, I have suggested that an important general role of many inter</w:t>
      </w:r>
      <w:r>
        <w:rPr>
          <w:rFonts w:cs="Minion Pro"/>
          <w:color w:val="221E1F"/>
          <w:sz w:val="19"/>
          <w:szCs w:val="19"/>
        </w:rPr>
        <w:softHyphen/>
        <w:t>face structures is to compile statistical regularities as the child experiences them: the statistical regularities create an internalized bank of potential sentences with paired meaning and form, against which the child can test his/her syntactic hy</w:t>
      </w:r>
      <w:r>
        <w:rPr>
          <w:rFonts w:cs="Minion Pro"/>
          <w:color w:val="221E1F"/>
          <w:sz w:val="19"/>
          <w:szCs w:val="19"/>
        </w:rPr>
        <w:softHyphen/>
        <w:t>potheses about their derivational structure. This alternation between hypothesis formation at the interface and filtering via a derivational model is spelled out a bit more in several current papers (Bever in press a, b). It has the possible im</w:t>
      </w:r>
      <w:r>
        <w:rPr>
          <w:rFonts w:cs="Minion Pro"/>
          <w:color w:val="221E1F"/>
          <w:sz w:val="19"/>
          <w:szCs w:val="19"/>
        </w:rPr>
        <w:softHyphen/>
        <w:t xml:space="preserve">plication of greatly reducing the impact of the poverty of the stimulus arguments in favor of passive parameter setting. (Bever in press a, b). </w:t>
      </w:r>
    </w:p>
    <w:p w:rsidR="00557D9B" w:rsidRDefault="00557D9B" w:rsidP="00557D9B">
      <w:pPr>
        <w:pStyle w:val="Pa6"/>
        <w:jc w:val="both"/>
        <w:rPr>
          <w:rFonts w:cs="Minion Pro"/>
          <w:color w:val="221E1F"/>
          <w:sz w:val="18"/>
          <w:szCs w:val="18"/>
        </w:rPr>
      </w:pPr>
      <w:r>
        <w:rPr>
          <w:rFonts w:cs="Minion Pro"/>
          <w:color w:val="221E1F"/>
          <w:sz w:val="21"/>
          <w:szCs w:val="21"/>
        </w:rPr>
        <w:t>Thus, from the psychological viewpoint, the notion of language as an ab</w:t>
      </w:r>
      <w:r>
        <w:rPr>
          <w:rFonts w:cs="Minion Pro"/>
          <w:color w:val="221E1F"/>
          <w:sz w:val="21"/>
          <w:szCs w:val="21"/>
        </w:rPr>
        <w:softHyphen/>
        <w:t>stract object does not change the idea of how it might be learned, from the cur</w:t>
      </w:r>
      <w:r>
        <w:rPr>
          <w:rFonts w:cs="Minion Pro"/>
          <w:color w:val="221E1F"/>
          <w:sz w:val="21"/>
          <w:szCs w:val="21"/>
        </w:rPr>
        <w:softHyphen/>
        <w:t>rent formal architecture. In either case, hypothesis formation and verification is a possible model. In either case, interface constraints may account for a great deal of the appearance of attested languages. This leaves the prior arguments for platonic linguistics from Katz, Langendoen and Postal as they were: for better or for worse.</w:t>
      </w:r>
      <w:r>
        <w:rPr>
          <w:rFonts w:ascii="Minion Pro SmBd" w:hAnsi="Minion Pro SmBd" w:cs="Minion Pro SmBd"/>
          <w:b/>
          <w:bCs/>
          <w:color w:val="221E1F"/>
          <w:sz w:val="18"/>
          <w:szCs w:val="18"/>
        </w:rPr>
        <w:t xml:space="preserve">232 </w:t>
      </w:r>
      <w:r>
        <w:rPr>
          <w:rFonts w:cs="Minion Pro"/>
          <w:color w:val="221E1F"/>
          <w:sz w:val="18"/>
          <w:szCs w:val="18"/>
        </w:rPr>
        <w:t xml:space="preserve">T. G. Bever </w:t>
      </w:r>
    </w:p>
    <w:p w:rsidR="00557D9B" w:rsidRDefault="00557D9B" w:rsidP="00557D9B">
      <w:pPr>
        <w:pStyle w:val="Default"/>
        <w:pageBreakBefore/>
        <w:spacing w:before="540" w:after="260" w:line="221" w:lineRule="atLeast"/>
        <w:rPr>
          <w:rFonts w:ascii="Minion Pro SmBd" w:hAnsi="Minion Pro SmBd" w:cs="Minion Pro SmBd"/>
          <w:color w:val="221E1F"/>
          <w:sz w:val="22"/>
          <w:szCs w:val="22"/>
        </w:rPr>
      </w:pPr>
      <w:r>
        <w:rPr>
          <w:rFonts w:ascii="Minion Pro SmBd" w:hAnsi="Minion Pro SmBd" w:cs="Minion Pro SmBd"/>
          <w:b/>
          <w:bCs/>
          <w:color w:val="221E1F"/>
          <w:sz w:val="22"/>
          <w:szCs w:val="22"/>
        </w:rPr>
        <w:t>References</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1970. The cognitive basis for linguistic structures. In </w:t>
      </w:r>
      <w:r>
        <w:rPr>
          <w:rFonts w:cs="Minion Pro"/>
          <w:i/>
          <w:iCs/>
          <w:color w:val="221E1F"/>
          <w:sz w:val="18"/>
          <w:szCs w:val="18"/>
        </w:rPr>
        <w:t>Cognition and Language Devel</w:t>
      </w:r>
      <w:r>
        <w:rPr>
          <w:rFonts w:cs="Minion Pro"/>
          <w:i/>
          <w:iCs/>
          <w:color w:val="221E1F"/>
          <w:sz w:val="18"/>
          <w:szCs w:val="18"/>
        </w:rPr>
        <w:softHyphen/>
        <w:t>opment</w:t>
      </w:r>
      <w:r>
        <w:rPr>
          <w:rFonts w:cs="Minion Pro"/>
          <w:color w:val="221E1F"/>
          <w:sz w:val="18"/>
          <w:szCs w:val="18"/>
        </w:rPr>
        <w:t>, R. Hayes, 277–360. New York NY: Wiley &amp; Sons.</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Bever, T. G. 1982. Some implications of the non</w:t>
      </w:r>
      <w:r>
        <w:rPr>
          <w:rFonts w:cs="Minion Pro"/>
          <w:color w:val="000000"/>
          <w:sz w:val="18"/>
          <w:szCs w:val="18"/>
        </w:rPr>
        <w:noBreakHyphen/>
      </w:r>
      <w:r>
        <w:rPr>
          <w:rFonts w:cs="Minion Pro"/>
          <w:color w:val="221E1F"/>
          <w:sz w:val="18"/>
          <w:szCs w:val="18"/>
        </w:rPr>
        <w:t xml:space="preserve">specific bases of language. In </w:t>
      </w:r>
      <w:r>
        <w:rPr>
          <w:rFonts w:cs="Minion Pro"/>
          <w:i/>
          <w:iCs/>
          <w:color w:val="221E1F"/>
          <w:sz w:val="18"/>
          <w:szCs w:val="18"/>
        </w:rPr>
        <w:t>Language Develop</w:t>
      </w:r>
      <w:r>
        <w:rPr>
          <w:rFonts w:cs="Minion Pro"/>
          <w:i/>
          <w:iCs/>
          <w:color w:val="221E1F"/>
          <w:sz w:val="18"/>
          <w:szCs w:val="18"/>
        </w:rPr>
        <w:softHyphen/>
        <w:t xml:space="preserve">ment </w:t>
      </w:r>
      <w:r>
        <w:rPr>
          <w:rFonts w:cs="Minion Pro"/>
          <w:i/>
          <w:iCs/>
          <w:color w:val="221E1F"/>
          <w:sz w:val="18"/>
          <w:szCs w:val="18"/>
        </w:rPr>
        <w:noBreakHyphen/>
        <w:t xml:space="preserve"> The State of the Art</w:t>
      </w:r>
      <w:r>
        <w:rPr>
          <w:rFonts w:cs="Minion Pro"/>
          <w:color w:val="221E1F"/>
          <w:sz w:val="18"/>
          <w:szCs w:val="18"/>
        </w:rPr>
        <w:t>, L. Gleitman &amp; E. Wanner, 429–49. Cambridge: CUP.</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In press a. Minimalist behaviorism: The role of the individual in explaining language universals. In </w:t>
      </w:r>
      <w:r>
        <w:rPr>
          <w:rFonts w:cs="Minion Pro"/>
          <w:i/>
          <w:iCs/>
          <w:color w:val="221E1F"/>
          <w:sz w:val="18"/>
          <w:szCs w:val="18"/>
        </w:rPr>
        <w:t>Language Universals</w:t>
      </w:r>
      <w:r>
        <w:rPr>
          <w:rFonts w:cs="Minion Pro"/>
          <w:color w:val="221E1F"/>
          <w:sz w:val="18"/>
          <w:szCs w:val="18"/>
        </w:rPr>
        <w:t>, M. Christiansen, C. Collins &amp; S. Edelman. Oxford: OUP.</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In press b. Remarks on the individual basis for linguistic structures. In </w:t>
      </w:r>
      <w:r>
        <w:rPr>
          <w:rFonts w:cs="Minion Pro"/>
          <w:i/>
          <w:iCs/>
          <w:color w:val="221E1F"/>
          <w:sz w:val="18"/>
          <w:szCs w:val="18"/>
        </w:rPr>
        <w:t xml:space="preserve">Of Minds and Language: The Basque Country Encounter with Noam Chomsky, </w:t>
      </w:r>
      <w:r>
        <w:rPr>
          <w:rFonts w:cs="Minion Pro"/>
          <w:color w:val="221E1F"/>
          <w:sz w:val="18"/>
          <w:szCs w:val="18"/>
        </w:rPr>
        <w:t>M. Piattelli-Palmarini (ed.). Oxford: OUP.</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&amp; Langendoen, T. 1971. A dynamic model of the evolution of language. </w:t>
      </w:r>
      <w:r>
        <w:rPr>
          <w:rFonts w:cs="Minion Pro"/>
          <w:i/>
          <w:iCs/>
          <w:color w:val="221E1F"/>
          <w:sz w:val="18"/>
          <w:szCs w:val="18"/>
        </w:rPr>
        <w:t xml:space="preserve">Linguistic Inquiry </w:t>
      </w:r>
      <w:r>
        <w:rPr>
          <w:rFonts w:cs="Minion Pro"/>
          <w:color w:val="221E1F"/>
          <w:sz w:val="18"/>
          <w:szCs w:val="18"/>
        </w:rPr>
        <w:t xml:space="preserve">2. (Reprinted in </w:t>
      </w:r>
      <w:r>
        <w:rPr>
          <w:rFonts w:cs="Minion Pro"/>
          <w:i/>
          <w:iCs/>
          <w:color w:val="221E1F"/>
          <w:sz w:val="18"/>
          <w:szCs w:val="18"/>
        </w:rPr>
        <w:t xml:space="preserve">An Integrated Theory of Linguistic Ability, </w:t>
      </w:r>
      <w:r>
        <w:rPr>
          <w:rFonts w:cs="Minion Pro"/>
          <w:color w:val="221E1F"/>
          <w:sz w:val="18"/>
          <w:szCs w:val="18"/>
        </w:rPr>
        <w:t>T. G. Bever, J. J. Katz &amp; D. T. Langendoen (eds), 115–47. New York NY: T. Y. Crowell.</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&amp; Langendoen, T. 1972. The interaction of perception and grammar in linguistic change. In </w:t>
      </w:r>
      <w:r>
        <w:rPr>
          <w:rFonts w:cs="Minion Pro"/>
          <w:i/>
          <w:iCs/>
          <w:color w:val="221E1F"/>
          <w:sz w:val="18"/>
          <w:szCs w:val="18"/>
        </w:rPr>
        <w:t xml:space="preserve">Historical Linguistics in the Perspective of Transformational Theory, </w:t>
      </w:r>
      <w:r>
        <w:rPr>
          <w:rFonts w:cs="Minion Pro"/>
          <w:color w:val="221E1F"/>
          <w:sz w:val="18"/>
          <w:szCs w:val="18"/>
        </w:rPr>
        <w:t>R. Stockwell &amp; R. MacCaulay, 32–95. Bloomington IN: Indiana University Press.</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Bever, T. G., J. J. Katz &amp; Langendoen, D. T. (eds). 1976. </w:t>
      </w:r>
      <w:r>
        <w:rPr>
          <w:rFonts w:cs="Minion Pro"/>
          <w:i/>
          <w:iCs/>
          <w:color w:val="221E1F"/>
          <w:sz w:val="18"/>
          <w:szCs w:val="18"/>
        </w:rPr>
        <w:t xml:space="preserve">An Integrated Theory of Linguistic Ability. </w:t>
      </w:r>
      <w:r>
        <w:rPr>
          <w:rFonts w:cs="Minion Pro"/>
          <w:color w:val="221E1F"/>
          <w:sz w:val="18"/>
          <w:szCs w:val="18"/>
        </w:rPr>
        <w:t>New York NY: T. Y. Crowell.</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Dehaene, S. 1997. </w:t>
      </w:r>
      <w:r>
        <w:rPr>
          <w:rFonts w:cs="Minion Pro"/>
          <w:i/>
          <w:iCs/>
          <w:color w:val="221E1F"/>
          <w:sz w:val="18"/>
          <w:szCs w:val="18"/>
        </w:rPr>
        <w:t xml:space="preserve">The Number Sense. How the Mind Creates Mathematics. </w:t>
      </w:r>
      <w:r>
        <w:rPr>
          <w:rFonts w:cs="Minion Pro"/>
          <w:color w:val="221E1F"/>
          <w:sz w:val="18"/>
          <w:szCs w:val="18"/>
        </w:rPr>
        <w:t>Oxford: OUP.</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Fodor, J. 1998. Unambiguous triggers. </w:t>
      </w:r>
      <w:r>
        <w:rPr>
          <w:rFonts w:cs="Minion Pro"/>
          <w:i/>
          <w:iCs/>
          <w:color w:val="221E1F"/>
          <w:sz w:val="18"/>
          <w:szCs w:val="18"/>
        </w:rPr>
        <w:t xml:space="preserve">Linguistic Inquiry </w:t>
      </w:r>
      <w:r>
        <w:rPr>
          <w:rFonts w:cs="Minion Pro"/>
          <w:color w:val="221E1F"/>
          <w:sz w:val="18"/>
          <w:szCs w:val="18"/>
        </w:rPr>
        <w:t>29: 1–36.</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Fodor, J. D. 2001. Setting syntactic parameters. </w:t>
      </w:r>
      <w:r>
        <w:rPr>
          <w:rFonts w:cs="Minion Pro"/>
          <w:i/>
          <w:iCs/>
          <w:color w:val="221E1F"/>
          <w:sz w:val="18"/>
          <w:szCs w:val="18"/>
        </w:rPr>
        <w:t xml:space="preserve">The Handbook of Contemporary Syntactic Theory, </w:t>
      </w:r>
      <w:r>
        <w:rPr>
          <w:rFonts w:cs="Minion Pro"/>
          <w:color w:val="221E1F"/>
          <w:sz w:val="18"/>
          <w:szCs w:val="18"/>
        </w:rPr>
        <w:t>M. Baltin &amp; C. Collins, 730–8. Oxford: Blackwell.</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Fodor, J. D. &amp; Sakas, W. G. 2004. Evaluating models of parameter setting. </w:t>
      </w:r>
      <w:r>
        <w:rPr>
          <w:rFonts w:cs="Minion Pro"/>
          <w:i/>
          <w:iCs/>
          <w:color w:val="221E1F"/>
          <w:sz w:val="18"/>
          <w:szCs w:val="18"/>
        </w:rPr>
        <w:t>BUCLD 28: Proceed</w:t>
      </w:r>
      <w:r>
        <w:rPr>
          <w:rFonts w:cs="Minion Pro"/>
          <w:i/>
          <w:iCs/>
          <w:color w:val="221E1F"/>
          <w:sz w:val="18"/>
          <w:szCs w:val="18"/>
        </w:rPr>
        <w:softHyphen/>
        <w:t xml:space="preserve">ings of the 28th Annual Boston University Conference on Language Development, </w:t>
      </w:r>
      <w:r>
        <w:rPr>
          <w:rFonts w:cs="Minion Pro"/>
          <w:color w:val="221E1F"/>
          <w:sz w:val="18"/>
          <w:szCs w:val="18"/>
        </w:rPr>
        <w:t>A. Brugos, L. Micciulla &amp; C. E. Smith, 1–27. Somerville MA: Cascadilla.</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Hauser, M. D., N. Chomsky &amp; W. T. Fitch. The faculty of language: What is it, who has it, and how did it evolve? Science 298: 1569–1579.</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Katz, J. 1981. </w:t>
      </w:r>
      <w:r>
        <w:rPr>
          <w:rFonts w:cs="Minion Pro"/>
          <w:i/>
          <w:iCs/>
          <w:color w:val="221E1F"/>
          <w:sz w:val="18"/>
          <w:szCs w:val="18"/>
        </w:rPr>
        <w:t>Language and Other Abstract Objects</w:t>
      </w:r>
      <w:r>
        <w:rPr>
          <w:rFonts w:cs="Minion Pro"/>
          <w:color w:val="221E1F"/>
          <w:sz w:val="18"/>
          <w:szCs w:val="18"/>
        </w:rPr>
        <w:t>. Lanham MA: Rowman and Littlefield.</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Langendoen, D. T. &amp; Bever, T. G. 1973. Can a not unhappy man be called a not sad one? In </w:t>
      </w:r>
      <w:r>
        <w:rPr>
          <w:rFonts w:cs="Minion Pro"/>
          <w:i/>
          <w:iCs/>
          <w:color w:val="221E1F"/>
          <w:sz w:val="18"/>
          <w:szCs w:val="18"/>
        </w:rPr>
        <w:t>A Festschrift for Morris Halle</w:t>
      </w:r>
      <w:r>
        <w:rPr>
          <w:rFonts w:cs="Minion Pro"/>
          <w:color w:val="221E1F"/>
          <w:sz w:val="18"/>
          <w:szCs w:val="18"/>
        </w:rPr>
        <w:t>, S. R. Anderson &amp; P. Kiparsky, 392–409. New York NY: Holt, Rinehart and Winston.</w:t>
      </w:r>
    </w:p>
    <w:p w:rsidR="00557D9B" w:rsidRDefault="00557D9B" w:rsidP="00557D9B">
      <w:pPr>
        <w:pStyle w:val="Pa12"/>
        <w:ind w:left="360" w:hanging="360"/>
        <w:jc w:val="both"/>
        <w:rPr>
          <w:rFonts w:cs="Minion Pro"/>
          <w:color w:val="221E1F"/>
          <w:sz w:val="18"/>
          <w:szCs w:val="18"/>
        </w:rPr>
      </w:pPr>
      <w:r>
        <w:rPr>
          <w:rFonts w:cs="Minion Pro"/>
          <w:color w:val="221E1F"/>
          <w:sz w:val="18"/>
          <w:szCs w:val="18"/>
        </w:rPr>
        <w:t xml:space="preserve">Langendoen, D. T. &amp; Postal P. M. 1984. </w:t>
      </w:r>
      <w:r>
        <w:rPr>
          <w:rFonts w:cs="Minion Pro"/>
          <w:i/>
          <w:iCs/>
          <w:color w:val="221E1F"/>
          <w:sz w:val="18"/>
          <w:szCs w:val="18"/>
        </w:rPr>
        <w:t xml:space="preserve">The Vastness of Natural Languages. </w:t>
      </w:r>
      <w:r>
        <w:rPr>
          <w:rFonts w:cs="Minion Pro"/>
          <w:color w:val="221E1F"/>
          <w:sz w:val="18"/>
          <w:szCs w:val="18"/>
        </w:rPr>
        <w:t>Oxford: B. Blackwell</w:t>
      </w:r>
    </w:p>
    <w:p w:rsidR="002B3F82" w:rsidRDefault="00557D9B" w:rsidP="00557D9B">
      <w:r>
        <w:rPr>
          <w:rFonts w:cs="Minion Pro"/>
          <w:color w:val="221E1F"/>
          <w:sz w:val="18"/>
          <w:szCs w:val="18"/>
        </w:rPr>
        <w:t xml:space="preserve">Shephard, R. 1997. The perceptual organization of colors. An adaptation to regularities of the terrestrial world? In </w:t>
      </w:r>
      <w:r>
        <w:rPr>
          <w:rFonts w:cs="Minion Pro"/>
          <w:i/>
          <w:iCs/>
          <w:color w:val="221E1F"/>
          <w:sz w:val="18"/>
          <w:szCs w:val="18"/>
        </w:rPr>
        <w:t xml:space="preserve">Readings on Color, </w:t>
      </w:r>
      <w:r>
        <w:rPr>
          <w:rFonts w:cs="Minion Pro"/>
          <w:color w:val="221E1F"/>
          <w:sz w:val="18"/>
          <w:szCs w:val="18"/>
        </w:rPr>
        <w:t>Vol. 2, A. Byrne &amp; D. R. Hilbert, 311–56. Cambridge MA: The MIT Press.</w:t>
      </w:r>
    </w:p>
    <w:sectPr w:rsidR="002B3F82" w:rsidSect="002B3F8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inion Pro">
    <w:altName w:val="Minion Pro"/>
    <w:panose1 w:val="02040503050201020203"/>
    <w:charset w:val="00"/>
    <w:family w:val="auto"/>
    <w:pitch w:val="variable"/>
    <w:sig w:usb0="00000003" w:usb1="00000000" w:usb2="00000000" w:usb3="00000000" w:csb0="00000001" w:csb1="00000000"/>
  </w:font>
  <w:font w:name="Minion Pro SmBd">
    <w:altName w:val="Minion Pro SmBd"/>
    <w:panose1 w:val="020406030602010202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557D9B"/>
    <w:rsid w:val="00557D9B"/>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82"/>
    <w:rPr>
      <w:rFonts w:ascii="Arial" w:hAnsi="Arial"/>
      <w:b/>
      <w:sz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557D9B"/>
    <w:pPr>
      <w:widowControl w:val="0"/>
      <w:autoSpaceDE w:val="0"/>
      <w:autoSpaceDN w:val="0"/>
      <w:adjustRightInd w:val="0"/>
      <w:spacing w:after="0"/>
    </w:pPr>
    <w:rPr>
      <w:rFonts w:ascii="Minion Pro" w:hAnsi="Minion Pro" w:cs="Minion Pro"/>
      <w:color w:val="000000"/>
      <w:sz w:val="24"/>
      <w:szCs w:val="24"/>
    </w:rPr>
  </w:style>
  <w:style w:type="paragraph" w:customStyle="1" w:styleId="Pa6">
    <w:name w:val="Pa6"/>
    <w:basedOn w:val="Default"/>
    <w:next w:val="Default"/>
    <w:uiPriority w:val="99"/>
    <w:rsid w:val="00557D9B"/>
    <w:pPr>
      <w:spacing w:line="211" w:lineRule="atLeast"/>
    </w:pPr>
    <w:rPr>
      <w:rFonts w:cs="Times New Roman"/>
      <w:color w:val="auto"/>
    </w:rPr>
  </w:style>
  <w:style w:type="paragraph" w:customStyle="1" w:styleId="Pa12">
    <w:name w:val="Pa12"/>
    <w:basedOn w:val="Default"/>
    <w:next w:val="Default"/>
    <w:uiPriority w:val="99"/>
    <w:rsid w:val="00557D9B"/>
    <w:pPr>
      <w:spacing w:line="181" w:lineRule="atLeast"/>
    </w:pPr>
    <w:rPr>
      <w:rFonts w:cs="Times New Roman"/>
      <w:color w:val="auto"/>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2602</Words>
  <Characters>14837</Characters>
  <Application>Microsoft Word 12.0.1</Application>
  <DocSecurity>0</DocSecurity>
  <Lines>123</Lines>
  <Paragraphs>29</Paragraphs>
  <ScaleCrop>false</ScaleCrop>
  <LinksUpToDate>false</LinksUpToDate>
  <CharactersWithSpaces>18220</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2012-03-03T20:33:00Z</dcterms:created>
  <dcterms:modified xsi:type="dcterms:W3CDTF">2012-03-03T20:34:00Z</dcterms:modified>
</cp:coreProperties>
</file>