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b/>
          <w:bCs/>
          <w:color w:val="0A0A0A"/>
          <w:sz w:val="80"/>
          <w:szCs w:val="80"/>
        </w:rPr>
        <w:t xml:space="preserve">Catalog Schema</w:t>
      </w:r>
    </w:p>
    <w:p>
      <w:pPr>
        <w:pBdr>
          <w:bottom w:val="single" w:color="0E9E5A" w:sz="12" w:space="4"/>
        </w:pBdr>
        <w:spacing w:after="40"/>
      </w:pPr>
      <w:r>
        <w:t xml:space="preserve"/>
      </w:r>
    </w:p>
    <w:p>
      <w:pPr>
        <w:spacing w:after="600" w:before="120"/>
      </w:pPr>
      <w:r>
        <w:rPr>
          <w:i/>
          <w:iCs/>
          <w:color w:val="555555"/>
          <w:sz w:val="30"/>
          <w:szCs w:val="30"/>
        </w:rPr>
        <w:t xml:space="preserve">The Identity Spine for VaultOS &amp; IQVault</w:t>
      </w:r>
    </w:p>
    <w:p>
      <w:pPr>
        <w:spacing w:after="90"/>
      </w:pPr>
      <w:r>
        <w:rPr>
          <w:b/>
          <w:bCs/>
          <w:color w:val="1A7A4A"/>
          <w:sz w:val="32"/>
          <w:szCs w:val="32"/>
        </w:rPr>
        <w:t xml:space="preserve">DATA MODEL REFERENCE</w:t>
      </w:r>
    </w:p>
    <w:p>
      <w:pPr>
        <w:spacing w:after="90"/>
      </w:pPr>
      <w:r>
        <w:rPr>
          <w:color w:val="888888"/>
          <w:sz w:val="22"/>
          <w:szCs w:val="22"/>
        </w:rPr>
        <w:t xml:space="preserve">Category-specific schemas on a shared ID spine · PostgreSQL</w:t>
      </w:r>
    </w:p>
    <w:p>
      <w:pPr>
        <w:spacing w:after="60" w:before="1300"/>
      </w:pPr>
      <w:r>
        <w:rPr>
          <w:b/>
          <w:bCs/>
          <w:color w:val="0A0A0A"/>
          <w:sz w:val="24"/>
          <w:szCs w:val="24"/>
        </w:rPr>
        <w:t xml:space="preserve">258 Services</w:t>
      </w:r>
    </w:p>
    <w:p>
      <w:r>
        <w:rPr>
          <w:color w:val="888888"/>
          <w:sz w:val="18"/>
          <w:szCs w:val="18"/>
        </w:rPr>
        <w:t xml:space="preserve">Vault Intelligence Platform · Confidential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Design Philosophy</w:t>
      </w:r>
    </w:p>
    <w:p>
      <w:pPr>
        <w:pBdr>
          <w:bottom w:val="single" w:color="1A7A4A" w:sz="6" w:space="1"/>
        </w:pBdr>
        <w:spacing w:after="150"/>
      </w:pPr>
      <w:r>
        <w:t xml:space="preserve"/>
      </w:r>
    </w:p>
    <w:p>
      <w:pPr>
        <w:spacing w:after="130" w:line="274"/>
      </w:pPr>
      <w:r>
        <w:rPr>
          <w:b/>
          <w:bCs/>
          <w:color w:val="0A0A0A"/>
        </w:rPr>
        <w:t xml:space="preserve">The schema exists to answer two questions with precision: </w:t>
      </w:r>
      <w:r>
        <w:t xml:space="preserve">“what exactly is this collectible?” (identification) and “what is it worth right now?” (valuation). Everything else — the offer engine, VaultScore, the Scenario Engine — reads from this foundation. If the catalog is wrong, every layer above it inherits the error.</w:t>
      </w:r>
    </w:p>
    <w:p>
      <w:pPr>
        <w:pStyle w:val="Heading3"/>
      </w:pPr>
      <w:r>
        <w:t xml:space="preserve">The Core Decision: A Shared ID Spine</w:t>
      </w:r>
    </w:p>
    <w:p>
      <w:pPr>
        <w:spacing w:after="130" w:line="274"/>
      </w:pPr>
      <w:r>
        <w:t xml:space="preserve">Pokémon parallels, sports rainbows, MTG finishes, and comic printings are genuinely different shapes of data. Forcing them into one universal table would mean a lowest-common-denominator model that captures none of them well. Instead, every collectible resolves to a single </w:t>
      </w:r>
      <w:r>
        <w:rPr>
          <w:b/>
          <w:bCs/>
          <w:color w:val="0A0A0A"/>
        </w:rPr>
        <w:t xml:space="preserve">asset</w:t>
      </w:r>
      <w:r>
        <w:t xml:space="preserve"> row on a shared spine, while the rich, category-native detail lives in a dedicated table per category.</w:t>
      </w:r>
    </w:p>
    <w:p>
      <w:pPr>
        <w:spacing w:after="130" w:line="274"/>
      </w:pPr>
      <w:r>
        <w:rPr>
          <w:b/>
          <w:bCs/>
          <w:color w:val="0A0A0A"/>
        </w:rPr>
        <w:t xml:space="preserve">The rule that makes this work: </w:t>
      </w:r>
      <w:r>
        <w:t xml:space="preserve">a base card and each of its parallels are </w:t>
      </w:r>
      <w:r>
        <w:rPr>
          <w:b/>
          <w:bCs/>
          <w:color w:val="0A0A0A"/>
        </w:rPr>
        <w:t xml:space="preserve">separate asset rows</w:t>
      </w:r>
      <w:r>
        <w:t xml:space="preserve">. A 2019 Prizm McLaurin base and its Silver parallel are two assets linked by </w:t>
      </w:r>
      <w:r>
        <w:rPr>
          <w:rFonts w:ascii="Consolas" w:cs="Consolas" w:eastAsia="Consolas" w:hAnsi="Consolas"/>
          <w:color w:val="0B5A38"/>
          <w:sz w:val="19"/>
          <w:szCs w:val="19"/>
        </w:rPr>
        <w:t xml:space="preserve">base_asset_id</w:t>
      </w:r>
      <w:r>
        <w:t xml:space="preserve">. The same is true for each comic printing and each sealed SKU. This is what lets the offer engine and VaultScore treat any collectible uniformly while the catalog still models the parallel ladder natively.</w:t>
      </w:r>
    </w:p>
    <w:p>
      <w:pPr>
        <w:pStyle w:val="Heading3"/>
      </w:pPr>
      <w:r>
        <w:t xml:space="preserve">Why This Beats the Competition on Parallels</w:t>
      </w:r>
    </w:p>
    <w:p>
      <w:pPr>
        <w:spacing w:after="130" w:line="274"/>
      </w:pPr>
      <w:r>
        <w:t xml:space="preserve">Commercial scanners fail on parallels because they treat identification as open-world image matching. This schema encodes the parallel ladder as data: once identification pins the set and subset, the exact set of candidate parallels is known and small. The classifier never asks “which of 50,000 cards is this” — it asks “which of these 6 known parallels is this,” a tractable problem. The schema is what makes that constraint possible.</w:t>
      </w:r>
    </w:p>
    <w:p>
      <w:pPr>
        <w:pStyle w:val="Heading3"/>
      </w:pPr>
      <w:r>
        <w:t xml:space="preserve">Database Recommendation: PostgreSQL</w:t>
      </w:r>
    </w:p>
    <w:p>
      <w:pPr>
        <w:spacing w:after="130" w:line="274"/>
      </w:pPr>
      <w:r>
        <w:rPr>
          <w:b/>
          <w:bCs/>
          <w:color w:val="0A0A0A"/>
        </w:rPr>
        <w:t xml:space="preserve">Recommendation: PostgreSQL 15+ </w:t>
      </w:r>
      <w:r>
        <w:t xml:space="preserve">as the system of record, for concrete reasons tied to this exact problem:</w:t>
      </w:r>
    </w:p>
    <w:p>
      <w:pPr>
        <w:pStyle w:val="ListParagraph"/>
        <w:numPr>
          <w:ilvl w:val="0"/>
          <w:numId w:val="2"/>
        </w:numPr>
        <w:spacing w:after="64" w:line="262"/>
      </w:pPr>
      <w:r>
        <w:rPr>
          <w:b/>
          <w:bCs/>
          <w:color w:val="0A0A0A"/>
        </w:rPr>
        <w:t xml:space="preserve">Relational integrity </w:t>
      </w:r>
      <w:r>
        <w:t xml:space="preserve">— the parallel ladders, printing runs, and external-ID reconciliation are relationship-heavy. Foreign keys enforce correctness the catalog depends on.</w:t>
      </w:r>
    </w:p>
    <w:p>
      <w:pPr>
        <w:pStyle w:val="ListParagraph"/>
        <w:numPr>
          <w:ilvl w:val="0"/>
          <w:numId w:val="2"/>
        </w:numPr>
        <w:spacing w:after="64" w:line="262"/>
      </w:pPr>
      <w:r>
        <w:rPr>
          <w:b/>
          <w:bCs/>
          <w:color w:val="0A0A0A"/>
        </w:rPr>
        <w:t xml:space="preserve">pg_trgm </w:t>
      </w:r>
      <w:r>
        <w:t xml:space="preserve">— fuzzy text search on OCR output (matching a messy eBay title to a canonical card) ships natively.</w:t>
      </w:r>
    </w:p>
    <w:p>
      <w:pPr>
        <w:pStyle w:val="ListParagraph"/>
        <w:numPr>
          <w:ilvl w:val="0"/>
          <w:numId w:val="2"/>
        </w:numPr>
        <w:spacing w:after="64" w:line="262"/>
      </w:pPr>
      <w:r>
        <w:rPr>
          <w:b/>
          <w:bCs/>
          <w:color w:val="0A0A0A"/>
        </w:rPr>
        <w:t xml:space="preserve">pgvector </w:t>
      </w:r>
      <w:r>
        <w:t xml:space="preserve">— store image embeddings for Stage-4 parallel disambiguation in the same database, with nearest-neighbor search. No separate vector DB needed at first.</w:t>
      </w:r>
    </w:p>
    <w:p>
      <w:pPr>
        <w:pStyle w:val="ListParagraph"/>
        <w:numPr>
          <w:ilvl w:val="0"/>
          <w:numId w:val="2"/>
        </w:numPr>
        <w:spacing w:after="64" w:line="262"/>
      </w:pPr>
      <w:r>
        <w:rPr>
          <w:b/>
          <w:bCs/>
          <w:color w:val="0A0A0A"/>
        </w:rPr>
        <w:t xml:space="preserve">JSONB </w:t>
      </w:r>
      <w:r>
        <w:t xml:space="preserve">— category quirks that don’t deserve a column live in flexible metadata without schema churn.</w:t>
      </w:r>
    </w:p>
    <w:p>
      <w:pPr>
        <w:spacing w:after="130" w:line="274"/>
      </w:pPr>
      <w:r>
        <w:t xml:space="preserve">A graph layer (Neo4j or Postgres </w:t>
      </w:r>
      <w:r>
        <w:rPr>
          <w:rFonts w:ascii="Consolas" w:cs="Consolas" w:eastAsia="Consolas" w:hAnsi="Consolas"/>
          <w:color w:val="0B5A38"/>
          <w:sz w:val="19"/>
          <w:szCs w:val="19"/>
        </w:rPr>
        <w:t xml:space="preserve">ltree</w:t>
      </w:r>
      <w:r>
        <w:t xml:space="preserve">/recursive CTEs) can come later for the Knowledge Graph, but Postgres carries Phases 0–2 comfortably. Don’t add a second datastore until the data forces it.</w:t>
      </w:r>
    </w:p>
    <w:p>
      <w:r>
        <w:br w:type="page"/>
      </w:r>
    </w:p>
    <w:p>
      <w:pPr>
        <w:pStyle w:val="Heading1"/>
      </w:pPr>
      <w:r>
        <w:t xml:space="preserve">Schema Layer Map</w:t>
      </w:r>
    </w:p>
    <w:p>
      <w:pPr>
        <w:pBdr>
          <w:bottom w:val="single" w:color="1A7A4A" w:sz="6" w:space="1"/>
        </w:pBdr>
        <w:spacing w:after="150"/>
      </w:pPr>
      <w:r>
        <w:t xml:space="preserve"/>
      </w:r>
    </w:p>
    <w:p>
      <w:pPr>
        <w:spacing w:after="130" w:line="274"/>
      </w:pPr>
      <w:r>
        <w:t xml:space="preserve">Five Postgres schemas. One spine, four category modules, one market module. Each SQL file is independently runnable in order.</w:t>
      </w:r>
    </w:p>
    <w:p>
      <w:pPr>
        <w:spacing w:after="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060"/>
        <w:gridCol w:w="1300"/>
      </w:tblGrid>
      <w:tr>
        <w:trPr>
          <w:tblHeader/>
        </w:trPr>
        <w:tc>
          <w:tcPr>
            <w:tcW w:type="dxa" w:w="1900"/>
            <w:tcBorders>
              <w:top w:val="single" w:color="D8DDD9" w:sz="1"/>
              <w:left w:val="single" w:color="D8DDD9" w:sz="1"/>
              <w:bottom w:val="single" w:color="D8DDD9" w:sz="1"/>
              <w:right w:val="single" w:color="D8DDD9" w:sz="1"/>
            </w:tcBorders>
            <w:shd w:fill="0A0A0A" w:val="clear"/>
            <w:tcMar>
              <w:top w:type="dxa" w:w="80"/>
              <w:left w:type="dxa" w:w="120"/>
              <w:bottom w:type="dxa" w:w="80"/>
              <w:right w:type="dxa" w:w="120"/>
            </w:tcMar>
          </w:tcPr>
          <w:p>
            <w:r>
              <w:rPr>
                <w:b/>
                <w:bCs/>
                <w:color w:val="FFFFFF"/>
                <w:sz w:val="17"/>
                <w:szCs w:val="17"/>
              </w:rPr>
              <w:t xml:space="preserve">Schema</w:t>
            </w:r>
          </w:p>
        </w:tc>
        <w:tc>
          <w:tcPr>
            <w:tcW w:type="dxa" w:w="2300"/>
            <w:tcBorders>
              <w:top w:val="single" w:color="D8DDD9" w:sz="1"/>
              <w:left w:val="single" w:color="D8DDD9" w:sz="1"/>
              <w:bottom w:val="single" w:color="D8DDD9" w:sz="1"/>
              <w:right w:val="single" w:color="D8DDD9" w:sz="1"/>
            </w:tcBorders>
            <w:shd w:fill="0A0A0A" w:val="clear"/>
            <w:tcMar>
              <w:top w:type="dxa" w:w="80"/>
              <w:left w:type="dxa" w:w="120"/>
              <w:bottom w:type="dxa" w:w="80"/>
              <w:right w:type="dxa" w:w="120"/>
            </w:tcMar>
          </w:tcPr>
          <w:p>
            <w:r>
              <w:rPr>
                <w:b/>
                <w:bCs/>
                <w:color w:val="FFFFFF"/>
                <w:sz w:val="17"/>
                <w:szCs w:val="17"/>
              </w:rPr>
              <w:t xml:space="preserve">File</w:t>
            </w:r>
          </w:p>
        </w:tc>
        <w:tc>
          <w:tcPr>
            <w:tcW w:type="dxa" w:w="4060"/>
            <w:tcBorders>
              <w:top w:val="single" w:color="D8DDD9" w:sz="1"/>
              <w:left w:val="single" w:color="D8DDD9" w:sz="1"/>
              <w:bottom w:val="single" w:color="D8DDD9" w:sz="1"/>
              <w:right w:val="single" w:color="D8DDD9" w:sz="1"/>
            </w:tcBorders>
            <w:shd w:fill="0A0A0A" w:val="clear"/>
            <w:tcMar>
              <w:top w:type="dxa" w:w="80"/>
              <w:left w:type="dxa" w:w="120"/>
              <w:bottom w:type="dxa" w:w="80"/>
              <w:right w:type="dxa" w:w="120"/>
            </w:tcMar>
          </w:tcPr>
          <w:p>
            <w:r>
              <w:rPr>
                <w:b/>
                <w:bCs/>
                <w:color w:val="FFFFFF"/>
                <w:sz w:val="17"/>
                <w:szCs w:val="17"/>
              </w:rPr>
              <w:t xml:space="preserve">Holds</w:t>
            </w:r>
          </w:p>
        </w:tc>
        <w:tc>
          <w:tcPr>
            <w:tcW w:type="dxa" w:w="1300"/>
            <w:tcBorders>
              <w:top w:val="single" w:color="D8DDD9" w:sz="1"/>
              <w:left w:val="single" w:color="D8DDD9" w:sz="1"/>
              <w:bottom w:val="single" w:color="D8DDD9" w:sz="1"/>
              <w:right w:val="single" w:color="D8DDD9" w:sz="1"/>
            </w:tcBorders>
            <w:shd w:fill="0A0A0A" w:val="clear"/>
            <w:tcMar>
              <w:top w:type="dxa" w:w="80"/>
              <w:left w:type="dxa" w:w="120"/>
              <w:bottom w:type="dxa" w:w="80"/>
              <w:right w:type="dxa" w:w="120"/>
            </w:tcMar>
          </w:tcPr>
          <w:p>
            <w:r>
              <w:rPr>
                <w:b/>
                <w:bCs/>
                <w:color w:val="FFFFFF"/>
                <w:sz w:val="17"/>
                <w:szCs w:val="17"/>
              </w:rPr>
              <w:t xml:space="preserve">Depends On</w:t>
            </w:r>
          </w:p>
        </w:tc>
      </w:tr>
      <w:tr>
        <w:tc>
          <w:tcPr>
            <w:tcW w:type="dxa" w:w="1900"/>
            <w:tcBorders>
              <w:top w:val="single" w:color="D8DDD9" w:sz="1"/>
              <w:left w:val="single" w:color="D8DDD9" w:sz="1"/>
              <w:bottom w:val="single" w:color="D8DDD9" w:sz="1"/>
              <w:right w:val="single" w:color="D8DDD9" w:sz="1"/>
            </w:tcBorders>
            <w:tcMar>
              <w:top w:type="dxa" w:w="80"/>
              <w:left w:type="dxa" w:w="120"/>
              <w:bottom w:type="dxa" w:w="80"/>
              <w:right w:type="dxa" w:w="120"/>
            </w:tcMar>
          </w:tcPr>
          <w:p>
            <w:r>
              <w:rPr>
                <w:sz w:val="17"/>
                <w:szCs w:val="17"/>
              </w:rPr>
              <w:t xml:space="preserve">vault_core</w:t>
            </w:r>
          </w:p>
        </w:tc>
        <w:tc>
          <w:tcPr>
            <w:tcW w:type="dxa" w:w="2300"/>
            <w:tcBorders>
              <w:top w:val="single" w:color="D8DDD9" w:sz="1"/>
              <w:left w:val="single" w:color="D8DDD9" w:sz="1"/>
              <w:bottom w:val="single" w:color="D8DDD9" w:sz="1"/>
              <w:right w:val="single" w:color="D8DDD9" w:sz="1"/>
            </w:tcBorders>
            <w:tcMar>
              <w:top w:type="dxa" w:w="80"/>
              <w:left w:type="dxa" w:w="120"/>
              <w:bottom w:type="dxa" w:w="80"/>
              <w:right w:type="dxa" w:w="120"/>
            </w:tcMar>
          </w:tcPr>
          <w:p>
            <w:r>
              <w:rPr>
                <w:sz w:val="17"/>
                <w:szCs w:val="17"/>
              </w:rPr>
              <w:t xml:space="preserve">01_core_spine.sql</w:t>
            </w:r>
          </w:p>
        </w:tc>
        <w:tc>
          <w:tcPr>
            <w:tcW w:type="dxa" w:w="4060"/>
            <w:tcBorders>
              <w:top w:val="single" w:color="D8DDD9" w:sz="1"/>
              <w:left w:val="single" w:color="D8DDD9" w:sz="1"/>
              <w:bottom w:val="single" w:color="D8DDD9" w:sz="1"/>
              <w:right w:val="single" w:color="D8DDD9" w:sz="1"/>
            </w:tcBorders>
            <w:tcMar>
              <w:top w:type="dxa" w:w="80"/>
              <w:left w:type="dxa" w:w="120"/>
              <w:bottom w:type="dxa" w:w="80"/>
              <w:right w:type="dxa" w:w="120"/>
            </w:tcMar>
          </w:tcPr>
          <w:p>
            <w:r>
              <w:rPr>
                <w:sz w:val="17"/>
                <w:szCs w:val="17"/>
              </w:rPr>
              <w:t xml:space="preserve">asset spine, external IDs, grading, entities</w:t>
            </w:r>
          </w:p>
        </w:tc>
        <w:tc>
          <w:tcPr>
            <w:tcW w:type="dxa" w:w="1300"/>
            <w:tcBorders>
              <w:top w:val="single" w:color="D8DDD9" w:sz="1"/>
              <w:left w:val="single" w:color="D8DDD9" w:sz="1"/>
              <w:bottom w:val="single" w:color="D8DDD9" w:sz="1"/>
              <w:right w:val="single" w:color="D8DDD9" w:sz="1"/>
            </w:tcBorders>
            <w:tcMar>
              <w:top w:type="dxa" w:w="80"/>
              <w:left w:type="dxa" w:w="120"/>
              <w:bottom w:type="dxa" w:w="80"/>
              <w:right w:type="dxa" w:w="120"/>
            </w:tcMar>
          </w:tcPr>
          <w:p>
            <w:r>
              <w:rPr>
                <w:sz w:val="17"/>
                <w:szCs w:val="17"/>
              </w:rPr>
              <w:t xml:space="preserve">—</w:t>
            </w:r>
          </w:p>
        </w:tc>
      </w:tr>
      <w:tr>
        <w:tc>
          <w:tcPr>
            <w:tcW w:type="dxa" w:w="1900"/>
            <w:tcBorders>
              <w:top w:val="single" w:color="D8DDD9" w:sz="1"/>
              <w:left w:val="single" w:color="D8DDD9" w:sz="1"/>
              <w:bottom w:val="single" w:color="D8DDD9" w:sz="1"/>
              <w:right w:val="single" w:color="D8DDD9" w:sz="1"/>
            </w:tcBorders>
            <w:shd w:fill="F4F7F5" w:val="clear"/>
            <w:tcMar>
              <w:top w:type="dxa" w:w="80"/>
              <w:left w:type="dxa" w:w="120"/>
              <w:bottom w:type="dxa" w:w="80"/>
              <w:right w:type="dxa" w:w="120"/>
            </w:tcMar>
          </w:tcPr>
          <w:p>
            <w:r>
              <w:rPr>
                <w:sz w:val="17"/>
                <w:szCs w:val="17"/>
              </w:rPr>
              <w:t xml:space="preserve">vault_pokemon</w:t>
            </w:r>
          </w:p>
        </w:tc>
        <w:tc>
          <w:tcPr>
            <w:tcW w:type="dxa" w:w="2300"/>
            <w:tcBorders>
              <w:top w:val="single" w:color="D8DDD9" w:sz="1"/>
              <w:left w:val="single" w:color="D8DDD9" w:sz="1"/>
              <w:bottom w:val="single" w:color="D8DDD9" w:sz="1"/>
              <w:right w:val="single" w:color="D8DDD9" w:sz="1"/>
            </w:tcBorders>
            <w:shd w:fill="F4F7F5" w:val="clear"/>
            <w:tcMar>
              <w:top w:type="dxa" w:w="80"/>
              <w:left w:type="dxa" w:w="120"/>
              <w:bottom w:type="dxa" w:w="80"/>
              <w:right w:type="dxa" w:w="120"/>
            </w:tcMar>
          </w:tcPr>
          <w:p>
            <w:r>
              <w:rPr>
                <w:sz w:val="17"/>
                <w:szCs w:val="17"/>
              </w:rPr>
              <w:t xml:space="preserve">02_tcg.sql</w:t>
            </w:r>
          </w:p>
        </w:tc>
        <w:tc>
          <w:tcPr>
            <w:tcW w:type="dxa" w:w="4060"/>
            <w:tcBorders>
              <w:top w:val="single" w:color="D8DDD9" w:sz="1"/>
              <w:left w:val="single" w:color="D8DDD9" w:sz="1"/>
              <w:bottom w:val="single" w:color="D8DDD9" w:sz="1"/>
              <w:right w:val="single" w:color="D8DDD9" w:sz="1"/>
            </w:tcBorders>
            <w:shd w:fill="F4F7F5" w:val="clear"/>
            <w:tcMar>
              <w:top w:type="dxa" w:w="80"/>
              <w:left w:type="dxa" w:w="120"/>
              <w:bottom w:type="dxa" w:w="80"/>
              <w:right w:type="dxa" w:w="120"/>
            </w:tcMar>
          </w:tcPr>
          <w:p>
            <w:r>
              <w:rPr>
                <w:sz w:val="17"/>
                <w:szCs w:val="17"/>
              </w:rPr>
              <w:t xml:space="preserve">Pokémon sets + cards (variant model)</w:t>
            </w:r>
          </w:p>
        </w:tc>
        <w:tc>
          <w:tcPr>
            <w:tcW w:type="dxa" w:w="1300"/>
            <w:tcBorders>
              <w:top w:val="single" w:color="D8DDD9" w:sz="1"/>
              <w:left w:val="single" w:color="D8DDD9" w:sz="1"/>
              <w:bottom w:val="single" w:color="D8DDD9" w:sz="1"/>
              <w:right w:val="single" w:color="D8DDD9" w:sz="1"/>
            </w:tcBorders>
            <w:shd w:fill="F4F7F5" w:val="clear"/>
            <w:tcMar>
              <w:top w:type="dxa" w:w="80"/>
              <w:left w:type="dxa" w:w="120"/>
              <w:bottom w:type="dxa" w:w="80"/>
              <w:right w:type="dxa" w:w="120"/>
            </w:tcMar>
          </w:tcPr>
          <w:p>
            <w:r>
              <w:rPr>
                <w:sz w:val="17"/>
                <w:szCs w:val="17"/>
              </w:rPr>
              <w:t xml:space="preserve">vault_core</w:t>
            </w:r>
          </w:p>
        </w:tc>
      </w:tr>
      <w:tr>
        <w:tc>
          <w:tcPr>
            <w:tcW w:type="dxa" w:w="1900"/>
            <w:tcBorders>
              <w:top w:val="single" w:color="D8DDD9" w:sz="1"/>
              <w:left w:val="single" w:color="D8DDD9" w:sz="1"/>
              <w:bottom w:val="single" w:color="D8DDD9" w:sz="1"/>
              <w:right w:val="single" w:color="D8DDD9" w:sz="1"/>
            </w:tcBorders>
            <w:tcMar>
              <w:top w:type="dxa" w:w="80"/>
              <w:left w:type="dxa" w:w="120"/>
              <w:bottom w:type="dxa" w:w="80"/>
              <w:right w:type="dxa" w:w="120"/>
            </w:tcMar>
          </w:tcPr>
          <w:p>
            <w:r>
              <w:rPr>
                <w:sz w:val="17"/>
                <w:szCs w:val="17"/>
              </w:rPr>
              <w:t xml:space="preserve">vault_mtg</w:t>
            </w:r>
          </w:p>
        </w:tc>
        <w:tc>
          <w:tcPr>
            <w:tcW w:type="dxa" w:w="2300"/>
            <w:tcBorders>
              <w:top w:val="single" w:color="D8DDD9" w:sz="1"/>
              <w:left w:val="single" w:color="D8DDD9" w:sz="1"/>
              <w:bottom w:val="single" w:color="D8DDD9" w:sz="1"/>
              <w:right w:val="single" w:color="D8DDD9" w:sz="1"/>
            </w:tcBorders>
            <w:tcMar>
              <w:top w:type="dxa" w:w="80"/>
              <w:left w:type="dxa" w:w="120"/>
              <w:bottom w:type="dxa" w:w="80"/>
              <w:right w:type="dxa" w:w="120"/>
            </w:tcMar>
          </w:tcPr>
          <w:p>
            <w:r>
              <w:rPr>
                <w:sz w:val="17"/>
                <w:szCs w:val="17"/>
              </w:rPr>
              <w:t xml:space="preserve">02_tcg.sql</w:t>
            </w:r>
          </w:p>
        </w:tc>
        <w:tc>
          <w:tcPr>
            <w:tcW w:type="dxa" w:w="4060"/>
            <w:tcBorders>
              <w:top w:val="single" w:color="D8DDD9" w:sz="1"/>
              <w:left w:val="single" w:color="D8DDD9" w:sz="1"/>
              <w:bottom w:val="single" w:color="D8DDD9" w:sz="1"/>
              <w:right w:val="single" w:color="D8DDD9" w:sz="1"/>
            </w:tcBorders>
            <w:tcMar>
              <w:top w:type="dxa" w:w="80"/>
              <w:left w:type="dxa" w:w="120"/>
              <w:bottom w:type="dxa" w:w="80"/>
              <w:right w:type="dxa" w:w="120"/>
            </w:tcMar>
          </w:tcPr>
          <w:p>
            <w:r>
              <w:rPr>
                <w:sz w:val="17"/>
                <w:szCs w:val="17"/>
              </w:rPr>
              <w:t xml:space="preserve">MTG sets + cards (finish model)</w:t>
            </w:r>
          </w:p>
        </w:tc>
        <w:tc>
          <w:tcPr>
            <w:tcW w:type="dxa" w:w="1300"/>
            <w:tcBorders>
              <w:top w:val="single" w:color="D8DDD9" w:sz="1"/>
              <w:left w:val="single" w:color="D8DDD9" w:sz="1"/>
              <w:bottom w:val="single" w:color="D8DDD9" w:sz="1"/>
              <w:right w:val="single" w:color="D8DDD9" w:sz="1"/>
            </w:tcBorders>
            <w:tcMar>
              <w:top w:type="dxa" w:w="80"/>
              <w:left w:type="dxa" w:w="120"/>
              <w:bottom w:type="dxa" w:w="80"/>
              <w:right w:type="dxa" w:w="120"/>
            </w:tcMar>
          </w:tcPr>
          <w:p>
            <w:r>
              <w:rPr>
                <w:sz w:val="17"/>
                <w:szCs w:val="17"/>
              </w:rPr>
              <w:t xml:space="preserve">vault_core</w:t>
            </w:r>
          </w:p>
        </w:tc>
      </w:tr>
      <w:tr>
        <w:tc>
          <w:tcPr>
            <w:tcW w:type="dxa" w:w="1900"/>
            <w:tcBorders>
              <w:top w:val="single" w:color="D8DDD9" w:sz="1"/>
              <w:left w:val="single" w:color="D8DDD9" w:sz="1"/>
              <w:bottom w:val="single" w:color="D8DDD9" w:sz="1"/>
              <w:right w:val="single" w:color="D8DDD9" w:sz="1"/>
            </w:tcBorders>
            <w:shd w:fill="F4F7F5" w:val="clear"/>
            <w:tcMar>
              <w:top w:type="dxa" w:w="80"/>
              <w:left w:type="dxa" w:w="120"/>
              <w:bottom w:type="dxa" w:w="80"/>
              <w:right w:type="dxa" w:w="120"/>
            </w:tcMar>
          </w:tcPr>
          <w:p>
            <w:r>
              <w:rPr>
                <w:sz w:val="17"/>
                <w:szCs w:val="17"/>
              </w:rPr>
              <w:t xml:space="preserve">vault_sports</w:t>
            </w:r>
          </w:p>
        </w:tc>
        <w:tc>
          <w:tcPr>
            <w:tcW w:type="dxa" w:w="2300"/>
            <w:tcBorders>
              <w:top w:val="single" w:color="D8DDD9" w:sz="1"/>
              <w:left w:val="single" w:color="D8DDD9" w:sz="1"/>
              <w:bottom w:val="single" w:color="D8DDD9" w:sz="1"/>
              <w:right w:val="single" w:color="D8DDD9" w:sz="1"/>
            </w:tcBorders>
            <w:shd w:fill="F4F7F5" w:val="clear"/>
            <w:tcMar>
              <w:top w:type="dxa" w:w="80"/>
              <w:left w:type="dxa" w:w="120"/>
              <w:bottom w:type="dxa" w:w="80"/>
              <w:right w:type="dxa" w:w="120"/>
            </w:tcMar>
          </w:tcPr>
          <w:p>
            <w:r>
              <w:rPr>
                <w:sz w:val="17"/>
                <w:szCs w:val="17"/>
              </w:rPr>
              <w:t xml:space="preserve">03_sports_comics.sql</w:t>
            </w:r>
          </w:p>
        </w:tc>
        <w:tc>
          <w:tcPr>
            <w:tcW w:type="dxa" w:w="4060"/>
            <w:tcBorders>
              <w:top w:val="single" w:color="D8DDD9" w:sz="1"/>
              <w:left w:val="single" w:color="D8DDD9" w:sz="1"/>
              <w:bottom w:val="single" w:color="D8DDD9" w:sz="1"/>
              <w:right w:val="single" w:color="D8DDD9" w:sz="1"/>
            </w:tcBorders>
            <w:shd w:fill="F4F7F5" w:val="clear"/>
            <w:tcMar>
              <w:top w:type="dxa" w:w="80"/>
              <w:left w:type="dxa" w:w="120"/>
              <w:bottom w:type="dxa" w:w="80"/>
              <w:right w:type="dxa" w:w="120"/>
            </w:tcMar>
          </w:tcPr>
          <w:p>
            <w:r>
              <w:rPr>
                <w:sz w:val="17"/>
                <w:szCs w:val="17"/>
              </w:rPr>
              <w:t xml:space="preserve">products, subsets, parallel ladders, cards</w:t>
            </w:r>
          </w:p>
        </w:tc>
        <w:tc>
          <w:tcPr>
            <w:tcW w:type="dxa" w:w="1300"/>
            <w:tcBorders>
              <w:top w:val="single" w:color="D8DDD9" w:sz="1"/>
              <w:left w:val="single" w:color="D8DDD9" w:sz="1"/>
              <w:bottom w:val="single" w:color="D8DDD9" w:sz="1"/>
              <w:right w:val="single" w:color="D8DDD9" w:sz="1"/>
            </w:tcBorders>
            <w:shd w:fill="F4F7F5" w:val="clear"/>
            <w:tcMar>
              <w:top w:type="dxa" w:w="80"/>
              <w:left w:type="dxa" w:w="120"/>
              <w:bottom w:type="dxa" w:w="80"/>
              <w:right w:type="dxa" w:w="120"/>
            </w:tcMar>
          </w:tcPr>
          <w:p>
            <w:r>
              <w:rPr>
                <w:sz w:val="17"/>
                <w:szCs w:val="17"/>
              </w:rPr>
              <w:t xml:space="preserve">vault_core</w:t>
            </w:r>
          </w:p>
        </w:tc>
      </w:tr>
      <w:tr>
        <w:tc>
          <w:tcPr>
            <w:tcW w:type="dxa" w:w="1900"/>
            <w:tcBorders>
              <w:top w:val="single" w:color="D8DDD9" w:sz="1"/>
              <w:left w:val="single" w:color="D8DDD9" w:sz="1"/>
              <w:bottom w:val="single" w:color="D8DDD9" w:sz="1"/>
              <w:right w:val="single" w:color="D8DDD9" w:sz="1"/>
            </w:tcBorders>
            <w:tcMar>
              <w:top w:type="dxa" w:w="80"/>
              <w:left w:type="dxa" w:w="120"/>
              <w:bottom w:type="dxa" w:w="80"/>
              <w:right w:type="dxa" w:w="120"/>
            </w:tcMar>
          </w:tcPr>
          <w:p>
            <w:r>
              <w:rPr>
                <w:sz w:val="17"/>
                <w:szCs w:val="17"/>
              </w:rPr>
              <w:t xml:space="preserve">vault_comic</w:t>
            </w:r>
          </w:p>
        </w:tc>
        <w:tc>
          <w:tcPr>
            <w:tcW w:type="dxa" w:w="2300"/>
            <w:tcBorders>
              <w:top w:val="single" w:color="D8DDD9" w:sz="1"/>
              <w:left w:val="single" w:color="D8DDD9" w:sz="1"/>
              <w:bottom w:val="single" w:color="D8DDD9" w:sz="1"/>
              <w:right w:val="single" w:color="D8DDD9" w:sz="1"/>
            </w:tcBorders>
            <w:tcMar>
              <w:top w:type="dxa" w:w="80"/>
              <w:left w:type="dxa" w:w="120"/>
              <w:bottom w:type="dxa" w:w="80"/>
              <w:right w:type="dxa" w:w="120"/>
            </w:tcMar>
          </w:tcPr>
          <w:p>
            <w:r>
              <w:rPr>
                <w:sz w:val="17"/>
                <w:szCs w:val="17"/>
              </w:rPr>
              <w:t xml:space="preserve">03_sports_comics.sql</w:t>
            </w:r>
          </w:p>
        </w:tc>
        <w:tc>
          <w:tcPr>
            <w:tcW w:type="dxa" w:w="4060"/>
            <w:tcBorders>
              <w:top w:val="single" w:color="D8DDD9" w:sz="1"/>
              <w:left w:val="single" w:color="D8DDD9" w:sz="1"/>
              <w:bottom w:val="single" w:color="D8DDD9" w:sz="1"/>
              <w:right w:val="single" w:color="D8DDD9" w:sz="1"/>
            </w:tcBorders>
            <w:tcMar>
              <w:top w:type="dxa" w:w="80"/>
              <w:left w:type="dxa" w:w="120"/>
              <w:bottom w:type="dxa" w:w="80"/>
              <w:right w:type="dxa" w:w="120"/>
            </w:tcMar>
          </w:tcPr>
          <w:p>
            <w:r>
              <w:rPr>
                <w:sz w:val="17"/>
                <w:szCs w:val="17"/>
              </w:rPr>
              <w:t xml:space="preserve">series, issues, printing/cover variants</w:t>
            </w:r>
          </w:p>
        </w:tc>
        <w:tc>
          <w:tcPr>
            <w:tcW w:type="dxa" w:w="1300"/>
            <w:tcBorders>
              <w:top w:val="single" w:color="D8DDD9" w:sz="1"/>
              <w:left w:val="single" w:color="D8DDD9" w:sz="1"/>
              <w:bottom w:val="single" w:color="D8DDD9" w:sz="1"/>
              <w:right w:val="single" w:color="D8DDD9" w:sz="1"/>
            </w:tcBorders>
            <w:tcMar>
              <w:top w:type="dxa" w:w="80"/>
              <w:left w:type="dxa" w:w="120"/>
              <w:bottom w:type="dxa" w:w="80"/>
              <w:right w:type="dxa" w:w="120"/>
            </w:tcMar>
          </w:tcPr>
          <w:p>
            <w:r>
              <w:rPr>
                <w:sz w:val="17"/>
                <w:szCs w:val="17"/>
              </w:rPr>
              <w:t xml:space="preserve">vault_core</w:t>
            </w:r>
          </w:p>
        </w:tc>
      </w:tr>
      <w:tr>
        <w:tc>
          <w:tcPr>
            <w:tcW w:type="dxa" w:w="1900"/>
            <w:tcBorders>
              <w:top w:val="single" w:color="D8DDD9" w:sz="1"/>
              <w:left w:val="single" w:color="D8DDD9" w:sz="1"/>
              <w:bottom w:val="single" w:color="D8DDD9" w:sz="1"/>
              <w:right w:val="single" w:color="D8DDD9" w:sz="1"/>
            </w:tcBorders>
            <w:shd w:fill="F4F7F5" w:val="clear"/>
            <w:tcMar>
              <w:top w:type="dxa" w:w="80"/>
              <w:left w:type="dxa" w:w="120"/>
              <w:bottom w:type="dxa" w:w="80"/>
              <w:right w:type="dxa" w:w="120"/>
            </w:tcMar>
          </w:tcPr>
          <w:p>
            <w:r>
              <w:rPr>
                <w:sz w:val="17"/>
                <w:szCs w:val="17"/>
              </w:rPr>
              <w:t xml:space="preserve">vault_market</w:t>
            </w:r>
          </w:p>
        </w:tc>
        <w:tc>
          <w:tcPr>
            <w:tcW w:type="dxa" w:w="2300"/>
            <w:tcBorders>
              <w:top w:val="single" w:color="D8DDD9" w:sz="1"/>
              <w:left w:val="single" w:color="D8DDD9" w:sz="1"/>
              <w:bottom w:val="single" w:color="D8DDD9" w:sz="1"/>
              <w:right w:val="single" w:color="D8DDD9" w:sz="1"/>
            </w:tcBorders>
            <w:shd w:fill="F4F7F5" w:val="clear"/>
            <w:tcMar>
              <w:top w:type="dxa" w:w="80"/>
              <w:left w:type="dxa" w:w="120"/>
              <w:bottom w:type="dxa" w:w="80"/>
              <w:right w:type="dxa" w:w="120"/>
            </w:tcMar>
          </w:tcPr>
          <w:p>
            <w:r>
              <w:rPr>
                <w:sz w:val="17"/>
                <w:szCs w:val="17"/>
              </w:rPr>
              <w:t xml:space="preserve">04_market_sealed_id.sql</w:t>
            </w:r>
          </w:p>
        </w:tc>
        <w:tc>
          <w:tcPr>
            <w:tcW w:type="dxa" w:w="4060"/>
            <w:tcBorders>
              <w:top w:val="single" w:color="D8DDD9" w:sz="1"/>
              <w:left w:val="single" w:color="D8DDD9" w:sz="1"/>
              <w:bottom w:val="single" w:color="D8DDD9" w:sz="1"/>
              <w:right w:val="single" w:color="D8DDD9" w:sz="1"/>
            </w:tcBorders>
            <w:shd w:fill="F4F7F5" w:val="clear"/>
            <w:tcMar>
              <w:top w:type="dxa" w:w="80"/>
              <w:left w:type="dxa" w:w="120"/>
              <w:bottom w:type="dxa" w:w="80"/>
              <w:right w:type="dxa" w:w="120"/>
            </w:tcMar>
          </w:tcPr>
          <w:p>
            <w:r>
              <w:rPr>
                <w:sz w:val="17"/>
                <w:szCs w:val="17"/>
              </w:rPr>
              <w:t xml:space="preserve">sales, market value, pop reports, sealed, ID feedback</w:t>
            </w:r>
          </w:p>
        </w:tc>
        <w:tc>
          <w:tcPr>
            <w:tcW w:type="dxa" w:w="1300"/>
            <w:tcBorders>
              <w:top w:val="single" w:color="D8DDD9" w:sz="1"/>
              <w:left w:val="single" w:color="D8DDD9" w:sz="1"/>
              <w:bottom w:val="single" w:color="D8DDD9" w:sz="1"/>
              <w:right w:val="single" w:color="D8DDD9" w:sz="1"/>
            </w:tcBorders>
            <w:shd w:fill="F4F7F5" w:val="clear"/>
            <w:tcMar>
              <w:top w:type="dxa" w:w="80"/>
              <w:left w:type="dxa" w:w="120"/>
              <w:bottom w:type="dxa" w:w="80"/>
              <w:right w:type="dxa" w:w="120"/>
            </w:tcMar>
          </w:tcPr>
          <w:p>
            <w:r>
              <w:rPr>
                <w:sz w:val="17"/>
                <w:szCs w:val="17"/>
              </w:rPr>
              <w:t xml:space="preserve">all of the above</w:t>
            </w:r>
          </w:p>
        </w:tc>
      </w:tr>
    </w:tbl>
    <w:p>
      <w:r>
        <w:br w:type="page"/>
      </w:r>
    </w:p>
    <w:p>
      <w:pPr>
        <w:shd w:fill="0A0A0A" w:val="clear"/>
        <w:spacing w:after="150" w:before="200"/>
      </w:pPr>
      <w:r>
        <w:rPr>
          <w:b/>
          <w:bCs/>
          <w:color w:val="FFFFFF"/>
          <w:sz w:val="24"/>
          <w:szCs w:val="24"/>
        </w:rPr>
        <w:t xml:space="preserve">  01 · CORE SPINE — vault_core</w:t>
      </w:r>
    </w:p>
    <w:p>
      <w:pPr>
        <w:spacing w:after="130" w:line="274"/>
      </w:pPr>
      <w:r>
        <w:t xml:space="preserve">The universal layer. The </w:t>
      </w:r>
      <w:r>
        <w:rPr>
          <w:b/>
          <w:bCs/>
          <w:color w:val="0A0A0A"/>
        </w:rPr>
        <w:t xml:space="preserve">asset</w:t>
      </w:r>
      <w:r>
        <w:t xml:space="preserve"> table is the single most important object in the platform: one row per uniquely-identifiable collectible. Parallels, printings, and sealed SKUs are all assets, linked to their base via </w:t>
      </w:r>
      <w:r>
        <w:rPr>
          <w:rFonts w:ascii="Consolas" w:cs="Consolas" w:eastAsia="Consolas" w:hAnsi="Consolas"/>
          <w:color w:val="0B5A38"/>
          <w:sz w:val="19"/>
          <w:szCs w:val="19"/>
        </w:rPr>
        <w:t xml:space="preserve">base_asset_id</w:t>
      </w:r>
      <w:r>
        <w:t xml:space="preserve">.</w:t>
      </w:r>
    </w:p>
    <w:p>
      <w:pPr>
        <w:pStyle w:val="Heading3"/>
      </w:pPr>
      <w:r>
        <w:t xml:space="preserve">Key Tables</w:t>
      </w:r>
    </w:p>
    <w:p>
      <w:pPr>
        <w:pStyle w:val="ListParagraph"/>
        <w:numPr>
          <w:ilvl w:val="0"/>
          <w:numId w:val="2"/>
        </w:numPr>
        <w:spacing w:after="64" w:line="262"/>
      </w:pPr>
      <w:r>
        <w:rPr>
          <w:b/>
          <w:bCs/>
          <w:color w:val="0A0A0A"/>
        </w:rPr>
        <w:t xml:space="preserve">asset </w:t>
      </w:r>
      <w:r>
        <w:t xml:space="preserve">— the spine. Carries category, canonical name, base linkage, year, tags, and a 512-dim image embedding for visual match.</w:t>
      </w:r>
    </w:p>
    <w:p>
      <w:pPr>
        <w:pStyle w:val="ListParagraph"/>
        <w:numPr>
          <w:ilvl w:val="0"/>
          <w:numId w:val="2"/>
        </w:numPr>
        <w:spacing w:after="64" w:line="262"/>
      </w:pPr>
      <w:r>
        <w:rPr>
          <w:b/>
          <w:bCs/>
          <w:color w:val="0A0A0A"/>
        </w:rPr>
        <w:t xml:space="preserve">external_id </w:t>
      </w:r>
      <w:r>
        <w:t xml:space="preserve">— maps one asset to every upstream source (TCGplayer, Scryfall, eBay EPID, PSA cert, GCD). This is how feeds reconcile to one truth.</w:t>
      </w:r>
    </w:p>
    <w:p>
      <w:pPr>
        <w:pStyle w:val="ListParagraph"/>
        <w:numPr>
          <w:ilvl w:val="0"/>
          <w:numId w:val="2"/>
        </w:numPr>
        <w:spacing w:after="64" w:line="262"/>
      </w:pPr>
      <w:r>
        <w:rPr>
          <w:b/>
          <w:bCs/>
          <w:color w:val="0A0A0A"/>
        </w:rPr>
        <w:t xml:space="preserve">grading_company + grade_scale </w:t>
      </w:r>
      <w:r>
        <w:t xml:space="preserve">— a unified condition axis. </w:t>
      </w:r>
      <w:r>
        <w:rPr>
          <w:rFonts w:ascii="Consolas" w:cs="Consolas" w:eastAsia="Consolas" w:hAnsi="Consolas"/>
          <w:color w:val="0B5A38"/>
          <w:sz w:val="19"/>
          <w:szCs w:val="19"/>
        </w:rPr>
        <w:t xml:space="preserve">normalized_score</w:t>
      </w:r>
      <w:r>
        <w:t xml:space="preserve"> (0–100) lets a PSA 10 and CGC 10 be compared by VaultScore.</w:t>
      </w:r>
    </w:p>
    <w:p>
      <w:pPr>
        <w:pStyle w:val="ListParagraph"/>
        <w:numPr>
          <w:ilvl w:val="0"/>
          <w:numId w:val="2"/>
        </w:numPr>
        <w:spacing w:after="64" w:line="262"/>
      </w:pPr>
      <w:r>
        <w:rPr>
          <w:b/>
          <w:bCs/>
          <w:color w:val="0A0A0A"/>
        </w:rPr>
        <w:t xml:space="preserve">entity + asset_entity </w:t>
      </w:r>
      <w:r>
        <w:t xml:space="preserve">— cross-category people/characters/teams. A sports card links to an athlete; a comic links to a cover artist and a character.</w:t>
      </w:r>
    </w:p>
    <w:p>
      <w:pPr>
        <w:pStyle w:val="Heading3"/>
      </w:pPr>
      <w:r>
        <w:t xml:space="preserve">The Parallel Linkage Pattern</w:t>
      </w:r>
    </w:p>
    <w:p>
      <w:pPr>
        <w:pBdr>
          <w:left w:val="single" w:color="0E9E5A" w:sz="14" w:space="8"/>
        </w:pBdr>
        <w:shd w:fill="F2F4F3" w:val="clear"/>
        <w:spacing w:after="120" w:before="60"/>
      </w:pPr>
      <w:r>
        <w:rPr>
          <w:rFonts w:ascii="Consolas" w:cs="Consolas" w:eastAsia="Consolas" w:hAnsi="Consolas"/>
          <w:color w:val="0A0A0A"/>
          <w:sz w:val="18"/>
          <w:szCs w:val="18"/>
        </w:rPr>
        <w:t xml:space="preserve">-- Base and its Silver parallel: two assets, one link</w:t>
      </w:r>
      <w:r>
        <w:br/>
      </w:r>
      <w:r>
        <w:rPr>
          <w:rFonts w:ascii="Consolas" w:cs="Consolas" w:eastAsia="Consolas" w:hAnsi="Consolas"/>
          <w:color w:val="0B5A38"/>
          <w:sz w:val="18"/>
          <w:szCs w:val="18"/>
        </w:rPr>
        <w:t xml:space="preserve">base   = asset(canonical_name='2019 Prizm McLaurin #301', base_asset_id=NULL)</w:t>
      </w:r>
      <w:r>
        <w:br/>
      </w:r>
      <w:r>
        <w:rPr>
          <w:rFonts w:ascii="Consolas" w:cs="Consolas" w:eastAsia="Consolas" w:hAnsi="Consolas"/>
          <w:color w:val="0B5A38"/>
          <w:sz w:val="18"/>
          <w:szCs w:val="18"/>
        </w:rPr>
        <w:t xml:space="preserve">silver = asset(canonical_name='... Silver Prizm',</w:t>
      </w:r>
      <w:r>
        <w:br/>
      </w:r>
      <w:r>
        <w:rPr>
          <w:rFonts w:ascii="Consolas" w:cs="Consolas" w:eastAsia="Consolas" w:hAnsi="Consolas"/>
          <w:color w:val="0B5A38"/>
          <w:sz w:val="18"/>
          <w:szCs w:val="18"/>
        </w:rPr>
        <w:t xml:space="preserve">               base_asset_id = base.id,</w:t>
      </w:r>
      <w:r>
        <w:br/>
      </w:r>
      <w:r>
        <w:rPr>
          <w:rFonts w:ascii="Consolas" w:cs="Consolas" w:eastAsia="Consolas" w:hAnsi="Consolas"/>
          <w:color w:val="0B5A38"/>
          <w:sz w:val="18"/>
          <w:szCs w:val="18"/>
        </w:rPr>
        <w:t xml:space="preserve">               tags = ['rainbow-member'])</w:t>
      </w:r>
    </w:p>
    <w:p>
      <w:r>
        <w:br w:type="page"/>
      </w:r>
    </w:p>
    <w:p>
      <w:pPr>
        <w:shd w:fill="1A7A4A" w:val="clear"/>
        <w:spacing w:after="150" w:before="200"/>
      </w:pPr>
      <w:r>
        <w:rPr>
          <w:b/>
          <w:bCs/>
          <w:color w:val="FFFFFF"/>
          <w:sz w:val="24"/>
          <w:szCs w:val="24"/>
        </w:rPr>
        <w:t xml:space="preserve">  02 · TCG — vault_pokemon + vault_mtg</w:t>
      </w:r>
    </w:p>
    <w:p>
      <w:pPr>
        <w:pStyle w:val="Heading3"/>
      </w:pPr>
      <w:r>
        <w:t xml:space="preserve">Pokémon: the variant_type model</w:t>
      </w:r>
    </w:p>
    <w:p>
      <w:pPr>
        <w:spacing w:after="130" w:line="274"/>
      </w:pPr>
      <w:r>
        <w:t xml:space="preserve">Each Pokémon card row is one asset. The </w:t>
      </w:r>
      <w:r>
        <w:rPr>
          <w:b/>
          <w:bCs/>
          <w:color w:val="0A0A0A"/>
        </w:rPr>
        <w:t xml:space="preserve">variant_type</w:t>
      </w:r>
      <w:r>
        <w:t xml:space="preserve"> column names the parallel/finish — </w:t>
      </w:r>
      <w:r>
        <w:rPr>
          <w:rFonts w:ascii="Consolas" w:cs="Consolas" w:eastAsia="Consolas" w:hAnsi="Consolas"/>
          <w:color w:val="0B5A38"/>
          <w:sz w:val="19"/>
          <w:szCs w:val="19"/>
        </w:rPr>
        <w:t xml:space="preserve">normal</w:t>
      </w:r>
      <w:r>
        <w:t xml:space="preserve">, </w:t>
      </w:r>
      <w:r>
        <w:rPr>
          <w:rFonts w:ascii="Consolas" w:cs="Consolas" w:eastAsia="Consolas" w:hAnsi="Consolas"/>
          <w:color w:val="0B5A38"/>
          <w:sz w:val="19"/>
          <w:szCs w:val="19"/>
        </w:rPr>
        <w:t xml:space="preserve">reverse_holo</w:t>
      </w:r>
      <w:r>
        <w:t xml:space="preserve">, </w:t>
      </w:r>
      <w:r>
        <w:rPr>
          <w:rFonts w:ascii="Consolas" w:cs="Consolas" w:eastAsia="Consolas" w:hAnsi="Consolas"/>
          <w:color w:val="0B5A38"/>
          <w:sz w:val="19"/>
          <w:szCs w:val="19"/>
        </w:rPr>
        <w:t xml:space="preserve">master_ball</w:t>
      </w:r>
      <w:r>
        <w:t xml:space="preserve">, </w:t>
      </w:r>
      <w:r>
        <w:rPr>
          <w:rFonts w:ascii="Consolas" w:cs="Consolas" w:eastAsia="Consolas" w:hAnsi="Consolas"/>
          <w:color w:val="0B5A38"/>
          <w:sz w:val="19"/>
          <w:szCs w:val="19"/>
        </w:rPr>
        <w:t xml:space="preserve">special_illustration_rare</w:t>
      </w:r>
      <w:r>
        <w:t xml:space="preserve">, and so on. Combined with </w:t>
      </w:r>
      <w:r>
        <w:rPr>
          <w:rFonts w:ascii="Consolas" w:cs="Consolas" w:eastAsia="Consolas" w:hAnsi="Consolas"/>
          <w:color w:val="0B5A38"/>
          <w:sz w:val="19"/>
          <w:szCs w:val="19"/>
        </w:rPr>
        <w:t xml:space="preserve">set_id</w:t>
      </w:r>
      <w:r>
        <w:t xml:space="preserve"> and </w:t>
      </w:r>
      <w:r>
        <w:rPr>
          <w:rFonts w:ascii="Consolas" w:cs="Consolas" w:eastAsia="Consolas" w:hAnsi="Consolas"/>
          <w:color w:val="0B5A38"/>
          <w:sz w:val="19"/>
          <w:szCs w:val="19"/>
        </w:rPr>
        <w:t xml:space="preserve">collector_number</w:t>
      </w:r>
      <w:r>
        <w:t xml:space="preserve">, it uniquely identifies the card. Classifier hints like </w:t>
      </w:r>
      <w:r>
        <w:rPr>
          <w:rFonts w:ascii="Consolas" w:cs="Consolas" w:eastAsia="Consolas" w:hAnsi="Consolas"/>
          <w:color w:val="0B5A38"/>
          <w:sz w:val="19"/>
          <w:szCs w:val="19"/>
        </w:rPr>
        <w:t xml:space="preserve">foil_pattern</w:t>
      </w:r>
      <w:r>
        <w:t xml:space="preserve"> and </w:t>
      </w:r>
      <w:r>
        <w:rPr>
          <w:rFonts w:ascii="Consolas" w:cs="Consolas" w:eastAsia="Consolas" w:hAnsi="Consolas"/>
          <w:color w:val="0B5A38"/>
          <w:sz w:val="19"/>
          <w:szCs w:val="19"/>
        </w:rPr>
        <w:t xml:space="preserve">is_first_edition</w:t>
      </w:r>
      <w:r>
        <w:t xml:space="preserve"> live here to drive disambiguation.</w:t>
      </w:r>
    </w:p>
    <w:p>
      <w:pPr>
        <w:spacing w:after="130" w:line="274"/>
      </w:pPr>
      <w:r>
        <w:rPr>
          <w:b/>
          <w:bCs/>
          <w:color w:val="0A0A0A"/>
        </w:rPr>
        <w:t xml:space="preserve">Unique constraint: </w:t>
      </w:r>
      <w:r>
        <w:rPr>
          <w:rFonts w:ascii="Consolas" w:cs="Consolas" w:eastAsia="Consolas" w:hAnsi="Consolas"/>
          <w:color w:val="0B5A38"/>
          <w:sz w:val="19"/>
          <w:szCs w:val="19"/>
        </w:rPr>
        <w:t xml:space="preserve">(set_id, collector_number, variant_type)</w:t>
      </w:r>
      <w:r>
        <w:t xml:space="preserve"> — guarantees one row per real-world card.</w:t>
      </w:r>
    </w:p>
    <w:p>
      <w:pPr>
        <w:pStyle w:val="Heading3"/>
      </w:pPr>
      <w:r>
        <w:t xml:space="preserve">MTG: the finish + frame model</w:t>
      </w:r>
    </w:p>
    <w:p>
      <w:pPr>
        <w:spacing w:after="130" w:line="274"/>
      </w:pPr>
      <w:r>
        <w:t xml:space="preserve">MTG’s “parallels” are finishes and treatments. The model mirrors Scryfall: </w:t>
      </w:r>
      <w:r>
        <w:rPr>
          <w:rFonts w:ascii="Consolas" w:cs="Consolas" w:eastAsia="Consolas" w:hAnsi="Consolas"/>
          <w:color w:val="0B5A38"/>
          <w:sz w:val="19"/>
          <w:szCs w:val="19"/>
        </w:rPr>
        <w:t xml:space="preserve">variant_type</w:t>
      </w:r>
      <w:r>
        <w:t xml:space="preserve"> (showcase, borderless, textless…), </w:t>
      </w:r>
      <w:r>
        <w:rPr>
          <w:rFonts w:ascii="Consolas" w:cs="Consolas" w:eastAsia="Consolas" w:hAnsi="Consolas"/>
          <w:color w:val="0B5A38"/>
          <w:sz w:val="19"/>
          <w:szCs w:val="19"/>
        </w:rPr>
        <w:t xml:space="preserve">finish</w:t>
      </w:r>
      <w:r>
        <w:t xml:space="preserve"> (nonfoil/foil/etched), and </w:t>
      </w:r>
      <w:r>
        <w:rPr>
          <w:rFonts w:ascii="Consolas" w:cs="Consolas" w:eastAsia="Consolas" w:hAnsi="Consolas"/>
          <w:color w:val="0B5A38"/>
          <w:sz w:val="19"/>
          <w:szCs w:val="19"/>
        </w:rPr>
        <w:t xml:space="preserve">frame_effects[]</w:t>
      </w:r>
      <w:r>
        <w:t xml:space="preserve">. Playability flags (</w:t>
      </w:r>
      <w:r>
        <w:rPr>
          <w:rFonts w:ascii="Consolas" w:cs="Consolas" w:eastAsia="Consolas" w:hAnsi="Consolas"/>
          <w:color w:val="0B5A38"/>
          <w:sz w:val="19"/>
          <w:szCs w:val="19"/>
        </w:rPr>
        <w:t xml:space="preserve">is_commander_staple</w:t>
      </w:r>
      <w:r>
        <w:t xml:space="preserve">, </w:t>
      </w:r>
      <w:r>
        <w:rPr>
          <w:rFonts w:ascii="Consolas" w:cs="Consolas" w:eastAsia="Consolas" w:hAnsi="Consolas"/>
          <w:color w:val="0B5A38"/>
          <w:sz w:val="19"/>
          <w:szCs w:val="19"/>
        </w:rPr>
        <w:t xml:space="preserve">standard_legal</w:t>
      </w:r>
      <w:r>
        <w:t xml:space="preserve">) feed the offer engine, since MTG value is partly format-driven.</w:t>
      </w:r>
    </w:p>
    <w:p>
      <w:pPr>
        <w:spacing w:after="130" w:line="274"/>
      </w:pPr>
      <w:r>
        <w:rPr>
          <w:b/>
          <w:bCs/>
          <w:color w:val="0A0A0A"/>
        </w:rPr>
        <w:t xml:space="preserve">Upstream: </w:t>
      </w:r>
      <w:r>
        <w:t xml:space="preserve">Scryfall for MTG (free, every printing/finish), pokemontcg.io + TCGplayer for Pokémon.</w:t>
      </w:r>
    </w:p>
    <w:p>
      <w:r>
        <w:br w:type="page"/>
      </w:r>
    </w:p>
    <w:p>
      <w:pPr>
        <w:shd w:fill="C2691A" w:val="clear"/>
        <w:spacing w:after="150" w:before="200"/>
      </w:pPr>
      <w:r>
        <w:rPr>
          <w:b/>
          <w:bCs/>
          <w:color w:val="FFFFFF"/>
          <w:sz w:val="24"/>
          <w:szCs w:val="24"/>
        </w:rPr>
        <w:t xml:space="preserve">  03 · SPORTS + COMICS — the moat</w:t>
      </w:r>
    </w:p>
    <w:p>
      <w:pPr>
        <w:pStyle w:val="Heading3"/>
      </w:pPr>
      <w:r>
        <w:t xml:space="preserve">Sports: the explicit parallel ladder</w:t>
      </w:r>
    </w:p>
    <w:p>
      <w:pPr>
        <w:spacing w:after="130" w:line="274"/>
      </w:pPr>
      <w:r>
        <w:t xml:space="preserve">Sports cards have no clean public API, so this catalog </w:t>
      </w:r>
      <w:r>
        <w:rPr>
          <w:b/>
          <w:bCs/>
          <w:color w:val="0A0A0A"/>
        </w:rPr>
        <w:t xml:space="preserve">is</w:t>
      </w:r>
      <w:r>
        <w:t xml:space="preserve"> proprietary IP once built. The hierarchy: </w:t>
      </w:r>
      <w:r>
        <w:rPr>
          <w:rFonts w:ascii="Consolas" w:cs="Consolas" w:eastAsia="Consolas" w:hAnsi="Consolas"/>
          <w:color w:val="0B5A38"/>
          <w:sz w:val="19"/>
          <w:szCs w:val="19"/>
        </w:rPr>
        <w:t xml:space="preserve">product</w:t>
      </w:r>
      <w:r>
        <w:t xml:space="preserve"> (2019 Panini Flawless Football) → </w:t>
      </w:r>
      <w:r>
        <w:rPr>
          <w:rFonts w:ascii="Consolas" w:cs="Consolas" w:eastAsia="Consolas" w:hAnsi="Consolas"/>
          <w:color w:val="0B5A38"/>
          <w:sz w:val="19"/>
          <w:szCs w:val="19"/>
        </w:rPr>
        <w:t xml:space="preserve">subset</w:t>
      </w:r>
      <w:r>
        <w:t xml:space="preserve"> (Rookie Patch Autographs) → </w:t>
      </w:r>
      <w:r>
        <w:rPr>
          <w:rFonts w:ascii="Consolas" w:cs="Consolas" w:eastAsia="Consolas" w:hAnsi="Consolas"/>
          <w:color w:val="0B5A38"/>
          <w:sz w:val="19"/>
          <w:szCs w:val="19"/>
        </w:rPr>
        <w:t xml:space="preserve">parallel_type</w:t>
      </w:r>
      <w:r>
        <w:t xml:space="preserve"> (Base/Silver/Ruby/Emerald/Platinum, each with print run and ladder rank) → </w:t>
      </w:r>
      <w:r>
        <w:rPr>
          <w:rFonts w:ascii="Consolas" w:cs="Consolas" w:eastAsia="Consolas" w:hAnsi="Consolas"/>
          <w:color w:val="0B5A38"/>
          <w:sz w:val="19"/>
          <w:szCs w:val="19"/>
        </w:rPr>
        <w:t xml:space="preserve">card</w:t>
      </w:r>
      <w:r>
        <w:t xml:space="preserve"> (the player’s specific parallel = one asset).</w:t>
      </w:r>
    </w:p>
    <w:p>
      <w:pPr>
        <w:spacing w:after="130" w:line="274"/>
      </w:pPr>
      <w:r>
        <w:rPr>
          <w:b/>
          <w:bCs/>
          <w:color w:val="0A0A0A"/>
        </w:rPr>
        <w:t xml:space="preserve">Why parallel_type is its own table: </w:t>
      </w:r>
      <w:r>
        <w:t xml:space="preserve">it defines the ladder once per subset. That is the candidate-constraint that makes parallel ID solvable — and it captures premium drivers like </w:t>
      </w:r>
      <w:r>
        <w:rPr>
          <w:rFonts w:ascii="Consolas" w:cs="Consolas" w:eastAsia="Consolas" w:hAnsi="Consolas"/>
          <w:color w:val="0B5A38"/>
          <w:sz w:val="19"/>
          <w:szCs w:val="19"/>
        </w:rPr>
        <w:t xml:space="preserve">patch_type='quad'</w:t>
      </w:r>
      <w:r>
        <w:t xml:space="preserve"> that your McLaurin Flawless rainbow needed.</w:t>
      </w:r>
    </w:p>
    <w:p>
      <w:pPr>
        <w:pStyle w:val="Heading3"/>
      </w:pPr>
      <w:r>
        <w:t xml:space="preserve">Comics: printing × cover = asset</w:t>
      </w:r>
    </w:p>
    <w:p>
      <w:pPr>
        <w:spacing w:after="130" w:line="274"/>
      </w:pPr>
      <w:r>
        <w:t xml:space="preserve">A comic asset is the combination of </w:t>
      </w:r>
      <w:r>
        <w:rPr>
          <w:rFonts w:ascii="Consolas" w:cs="Consolas" w:eastAsia="Consolas" w:hAnsi="Consolas"/>
          <w:color w:val="0B5A38"/>
          <w:sz w:val="19"/>
          <w:szCs w:val="19"/>
        </w:rPr>
        <w:t xml:space="preserve">printing</w:t>
      </w:r>
      <w:r>
        <w:t xml:space="preserve"> and </w:t>
      </w:r>
      <w:r>
        <w:rPr>
          <w:rFonts w:ascii="Consolas" w:cs="Consolas" w:eastAsia="Consolas" w:hAnsi="Consolas"/>
          <w:color w:val="0B5A38"/>
          <w:sz w:val="19"/>
          <w:szCs w:val="19"/>
        </w:rPr>
        <w:t xml:space="preserve">cover_label</w:t>
      </w:r>
      <w:r>
        <w:t xml:space="preserve">. Absolute Batman #1 Cover A 1st print and Cover A 3rd print are different assets sharing one </w:t>
      </w:r>
      <w:r>
        <w:rPr>
          <w:rFonts w:ascii="Consolas" w:cs="Consolas" w:eastAsia="Consolas" w:hAnsi="Consolas"/>
          <w:color w:val="0B5A38"/>
          <w:sz w:val="19"/>
          <w:szCs w:val="19"/>
        </w:rPr>
        <w:t xml:space="preserve">issue</w:t>
      </w:r>
      <w:r>
        <w:t xml:space="preserve">, differentiated by the </w:t>
      </w:r>
      <w:r>
        <w:rPr>
          <w:rFonts w:ascii="Consolas" w:cs="Consolas" w:eastAsia="Consolas" w:hAnsi="Consolas"/>
          <w:color w:val="0B5A38"/>
          <w:sz w:val="19"/>
          <w:szCs w:val="19"/>
        </w:rPr>
        <w:t xml:space="preserve">variant</w:t>
      </w:r>
      <w:r>
        <w:t xml:space="preserve"> row (with </w:t>
      </w:r>
      <w:r>
        <w:rPr>
          <w:rFonts w:ascii="Consolas" w:cs="Consolas" w:eastAsia="Consolas" w:hAnsi="Consolas"/>
          <w:color w:val="0B5A38"/>
          <w:sz w:val="19"/>
          <w:szCs w:val="19"/>
        </w:rPr>
        <w:t xml:space="preserve">distinguishing_feature</w:t>
      </w:r>
      <w:r>
        <w:t xml:space="preserve"> = ‘recolored logo’). Key issues are flagged for VaultScore.</w:t>
      </w:r>
    </w:p>
    <w:p>
      <w:pPr>
        <w:spacing w:after="130" w:line="274"/>
      </w:pPr>
      <w:r>
        <w:rPr>
          <w:b/>
          <w:bCs/>
          <w:color w:val="0A0A0A"/>
        </w:rPr>
        <w:t xml:space="preserve">Upstream: </w:t>
      </w:r>
      <w:r>
        <w:t xml:space="preserve">Grand Comics Database (GCD) for the canonical issue/printing structure; GoCollect/CovrPrice for pricing.</w:t>
      </w:r>
    </w:p>
    <w:p>
      <w:r>
        <w:br w:type="page"/>
      </w:r>
    </w:p>
    <w:p>
      <w:pPr>
        <w:shd w:fill="1C6FA8" w:val="clear"/>
        <w:spacing w:after="150" w:before="200"/>
      </w:pPr>
      <w:r>
        <w:rPr>
          <w:b/>
          <w:bCs/>
          <w:color w:val="FFFFFF"/>
          <w:sz w:val="24"/>
          <w:szCs w:val="24"/>
        </w:rPr>
        <w:t xml:space="preserve">  04 · MARKET, SEALED &amp; ID FEEDBACK — vault_market</w:t>
      </w:r>
    </w:p>
    <w:p>
      <w:pPr>
        <w:pStyle w:val="Heading3"/>
      </w:pPr>
      <w:r>
        <w:t xml:space="preserve">The priced unit = asset + grade</w:t>
      </w:r>
    </w:p>
    <w:p>
      <w:pPr>
        <w:spacing w:after="130" w:line="274"/>
      </w:pPr>
      <w:r>
        <w:t xml:space="preserve">Price attaches to </w:t>
      </w:r>
      <w:r>
        <w:rPr>
          <w:b/>
          <w:bCs/>
          <w:color w:val="0A0A0A"/>
        </w:rPr>
        <w:t xml:space="preserve">an asset at a specific grade</w:t>
      </w:r>
      <w:r>
        <w:t xml:space="preserve">, not the asset alone. </w:t>
      </w:r>
      <w:r>
        <w:rPr>
          <w:rFonts w:ascii="Consolas" w:cs="Consolas" w:eastAsia="Consolas" w:hAnsi="Consolas"/>
          <w:color w:val="0B5A38"/>
          <w:sz w:val="19"/>
          <w:szCs w:val="19"/>
        </w:rPr>
        <w:t xml:space="preserve">priced_unit (asset_id, grade_scale_id)</w:t>
      </w:r>
      <w:r>
        <w:t xml:space="preserve"> is the unit the offer engine and VaultScore price. A raw card and its PSA 10 are different priced units of the same asset.</w:t>
      </w:r>
    </w:p>
    <w:p>
      <w:pPr>
        <w:pStyle w:val="Heading3"/>
      </w:pPr>
      <w:r>
        <w:t xml:space="preserve">Sales → Market Value (the valuation spine)</w:t>
      </w:r>
    </w:p>
    <w:p>
      <w:pPr>
        <w:pStyle w:val="ListParagraph"/>
        <w:numPr>
          <w:ilvl w:val="0"/>
          <w:numId w:val="2"/>
        </w:numPr>
        <w:spacing w:after="64" w:line="262"/>
      </w:pPr>
      <w:r>
        <w:rPr>
          <w:b/>
          <w:bCs/>
          <w:color w:val="0A0A0A"/>
        </w:rPr>
        <w:t xml:space="preserve">sale </w:t>
      </w:r>
      <w:r>
        <w:t xml:space="preserve">— every observed transaction, eBay sold as ground truth. Stored raw with the original title for audit. Outlier and confidence flags guard against bad matches.</w:t>
      </w:r>
    </w:p>
    <w:p>
      <w:pPr>
        <w:pStyle w:val="ListParagraph"/>
        <w:numPr>
          <w:ilvl w:val="0"/>
          <w:numId w:val="2"/>
        </w:numPr>
        <w:spacing w:after="64" w:line="262"/>
      </w:pPr>
      <w:r>
        <w:rPr>
          <w:b/>
          <w:bCs/>
          <w:color w:val="0A0A0A"/>
        </w:rPr>
        <w:t xml:space="preserve">market_value </w:t>
      </w:r>
      <w:r>
        <w:t xml:space="preserve">— the normalized, blended current value per priced unit, plus the signals everything reads: </w:t>
      </w:r>
      <w:r>
        <w:rPr>
          <w:rFonts w:ascii="Consolas" w:cs="Consolas" w:eastAsia="Consolas" w:hAnsi="Consolas"/>
          <w:color w:val="0B5A38"/>
          <w:sz w:val="19"/>
          <w:szCs w:val="19"/>
        </w:rPr>
        <w:t xml:space="preserve">trend_pct_30d</w:t>
      </w:r>
      <w:r>
        <w:t xml:space="preserve"> (Momentum), </w:t>
      </w:r>
      <w:r>
        <w:rPr>
          <w:rFonts w:ascii="Consolas" w:cs="Consolas" w:eastAsia="Consolas" w:hAnsi="Consolas"/>
          <w:color w:val="0B5A38"/>
          <w:sz w:val="19"/>
          <w:szCs w:val="19"/>
        </w:rPr>
        <w:t xml:space="preserve">velocity</w:t>
      </w:r>
      <w:r>
        <w:t xml:space="preserve"> and </w:t>
      </w:r>
      <w:r>
        <w:rPr>
          <w:rFonts w:ascii="Consolas" w:cs="Consolas" w:eastAsia="Consolas" w:hAnsi="Consolas"/>
          <w:color w:val="0B5A38"/>
          <w:sz w:val="19"/>
          <w:szCs w:val="19"/>
        </w:rPr>
        <w:t xml:space="preserve">liquidity_score</w:t>
      </w:r>
      <w:r>
        <w:t xml:space="preserve"> (Liquidity).</w:t>
      </w:r>
    </w:p>
    <w:p>
      <w:pPr>
        <w:pStyle w:val="ListParagraph"/>
        <w:numPr>
          <w:ilvl w:val="0"/>
          <w:numId w:val="2"/>
        </w:numPr>
        <w:spacing w:after="64" w:line="262"/>
      </w:pPr>
      <w:r>
        <w:rPr>
          <w:b/>
          <w:bCs/>
          <w:color w:val="0A0A0A"/>
        </w:rPr>
        <w:t xml:space="preserve">market_value_history </w:t>
      </w:r>
      <w:r>
        <w:t xml:space="preserve">— the time series. The moment you store your own cleaned history, it becomes proprietary — nobody else has your exact series.</w:t>
      </w:r>
    </w:p>
    <w:p>
      <w:pPr>
        <w:pStyle w:val="ListParagraph"/>
        <w:numPr>
          <w:ilvl w:val="0"/>
          <w:numId w:val="2"/>
        </w:numPr>
        <w:spacing w:after="64" w:line="262"/>
      </w:pPr>
      <w:r>
        <w:rPr>
          <w:b/>
          <w:bCs/>
          <w:color w:val="0A0A0A"/>
        </w:rPr>
        <w:t xml:space="preserve">population_report </w:t>
      </w:r>
      <w:r>
        <w:t xml:space="preserve">— PSA/CGC pop counts, the supply side of VaultScore Risk.</w:t>
      </w:r>
    </w:p>
    <w:p>
      <w:pPr>
        <w:pStyle w:val="Heading3"/>
      </w:pPr>
      <w:r>
        <w:t xml:space="preserve">The compounding moat: id_observation</w:t>
      </w:r>
    </w:p>
    <w:p>
      <w:pPr>
        <w:spacing w:after="130" w:line="274"/>
      </w:pPr>
      <w:r>
        <w:t xml:space="preserve">Every scan logs what the pipeline predicted and (after review) what a human confirmed. </w:t>
      </w:r>
      <w:r>
        <w:rPr>
          <w:rFonts w:ascii="Consolas" w:cs="Consolas" w:eastAsia="Consolas" w:hAnsi="Consolas"/>
          <w:color w:val="0B5A38"/>
          <w:sz w:val="19"/>
          <w:szCs w:val="19"/>
        </w:rPr>
        <w:t xml:space="preserve">was_correct</w:t>
      </w:r>
      <w:r>
        <w:t xml:space="preserve">, the stored </w:t>
      </w:r>
      <w:r>
        <w:rPr>
          <w:rFonts w:ascii="Consolas" w:cs="Consolas" w:eastAsia="Consolas" w:hAnsi="Consolas"/>
          <w:color w:val="0B5A38"/>
          <w:sz w:val="19"/>
          <w:szCs w:val="19"/>
        </w:rPr>
        <w:t xml:space="preserve">image_embedding</w:t>
      </w:r>
      <w:r>
        <w:t xml:space="preserve">, and </w:t>
      </w:r>
      <w:r>
        <w:rPr>
          <w:rFonts w:ascii="Consolas" w:cs="Consolas" w:eastAsia="Consolas" w:hAnsi="Consolas"/>
          <w:color w:val="0B5A38"/>
          <w:sz w:val="19"/>
          <w:szCs w:val="19"/>
        </w:rPr>
        <w:t xml:space="preserve">capture_frames</w:t>
      </w:r>
      <w:r>
        <w:t xml:space="preserve"> turn routine store usage into labeled training data. </w:t>
      </w:r>
      <w:r>
        <w:rPr>
          <w:b/>
          <w:bCs/>
          <w:color w:val="0A0A0A"/>
        </w:rPr>
        <w:t xml:space="preserve">The classifier improves the more stores use VaultOS</w:t>
      </w:r>
      <w:r>
        <w:t xml:space="preserve"> — the network effect applied to the model itself. The unreviewed rows are a ready-made review queue.</w:t>
      </w:r>
    </w:p>
    <w:p>
      <w:r>
        <w:br w:type="page"/>
      </w:r>
    </w:p>
    <w:p>
      <w:pPr>
        <w:pStyle w:val="Heading1"/>
      </w:pPr>
      <w:r>
        <w:t xml:space="preserve">How a Scan Flows Through the Schema</w:t>
      </w:r>
    </w:p>
    <w:p>
      <w:pPr>
        <w:pBdr>
          <w:bottom w:val="single" w:color="1A7A4A" w:sz="6" w:space="1"/>
        </w:pBdr>
        <w:spacing w:after="150"/>
      </w:pPr>
      <w:r>
        <w:t xml:space="preserve"/>
      </w:r>
    </w:p>
    <w:p>
      <w:pPr>
        <w:pStyle w:val="ListParagraph"/>
        <w:numPr>
          <w:ilvl w:val="0"/>
          <w:numId w:val="3"/>
        </w:numPr>
        <w:spacing w:after="64" w:line="262"/>
      </w:pPr>
      <w:r>
        <w:t xml:space="preserve">Detection crops a card from the photo; OCR pulls the collector number + set code.</w:t>
      </w:r>
    </w:p>
    <w:p>
      <w:pPr>
        <w:pStyle w:val="ListParagraph"/>
        <w:numPr>
          <w:ilvl w:val="0"/>
          <w:numId w:val="3"/>
        </w:numPr>
        <w:spacing w:after="64" w:line="262"/>
      </w:pPr>
      <w:r>
        <w:t xml:space="preserve">Catalog match: number+set resolves to a base </w:t>
      </w:r>
      <w:r>
        <w:rPr>
          <w:rFonts w:ascii="Consolas" w:cs="Consolas" w:eastAsia="Consolas" w:hAnsi="Consolas"/>
          <w:color w:val="0B5A38"/>
          <w:sz w:val="19"/>
          <w:szCs w:val="19"/>
        </w:rPr>
        <w:t xml:space="preserve">asset</w:t>
      </w:r>
      <w:r>
        <w:t xml:space="preserve"> and its candidate parallels (via </w:t>
      </w:r>
      <w:r>
        <w:rPr>
          <w:rFonts w:ascii="Consolas" w:cs="Consolas" w:eastAsia="Consolas" w:hAnsi="Consolas"/>
          <w:color w:val="0B5A38"/>
          <w:sz w:val="19"/>
          <w:szCs w:val="19"/>
        </w:rPr>
        <w:t xml:space="preserve">base_asset_id</w:t>
      </w:r>
      <w:r>
        <w:t xml:space="preserve"> / parallel_type ladder).</w:t>
      </w:r>
    </w:p>
    <w:p>
      <w:pPr>
        <w:pStyle w:val="ListParagraph"/>
        <w:numPr>
          <w:ilvl w:val="0"/>
          <w:numId w:val="3"/>
        </w:numPr>
        <w:spacing w:after="64" w:line="262"/>
      </w:pPr>
      <w:r>
        <w:t xml:space="preserve">Parallel disambiguation: the multi-frame </w:t>
      </w:r>
      <w:r>
        <w:rPr>
          <w:rFonts w:ascii="Consolas" w:cs="Consolas" w:eastAsia="Consolas" w:hAnsi="Consolas"/>
          <w:color w:val="0B5A38"/>
          <w:sz w:val="19"/>
          <w:szCs w:val="19"/>
        </w:rPr>
        <w:t xml:space="preserve">image_embedding</w:t>
      </w:r>
      <w:r>
        <w:t xml:space="preserve"> is matched against candidate assets’ reference embeddings — a tiny, known set.</w:t>
      </w:r>
    </w:p>
    <w:p>
      <w:pPr>
        <w:pStyle w:val="ListParagraph"/>
        <w:numPr>
          <w:ilvl w:val="0"/>
          <w:numId w:val="3"/>
        </w:numPr>
        <w:spacing w:after="64" w:line="262"/>
      </w:pPr>
      <w:r>
        <w:t xml:space="preserve">Grade is read (or assumed raw) → resolves the </w:t>
      </w:r>
      <w:r>
        <w:rPr>
          <w:rFonts w:ascii="Consolas" w:cs="Consolas" w:eastAsia="Consolas" w:hAnsi="Consolas"/>
          <w:color w:val="0B5A38"/>
          <w:sz w:val="19"/>
          <w:szCs w:val="19"/>
        </w:rPr>
        <w:t xml:space="preserve">priced_unit</w:t>
      </w:r>
      <w:r>
        <w:t xml:space="preserve">.</w:t>
      </w:r>
    </w:p>
    <w:p>
      <w:pPr>
        <w:pStyle w:val="ListParagraph"/>
        <w:numPr>
          <w:ilvl w:val="0"/>
          <w:numId w:val="3"/>
        </w:numPr>
        <w:spacing w:after="64" w:line="262"/>
      </w:pPr>
      <w:r>
        <w:t xml:space="preserve">Valuation: </w:t>
      </w:r>
      <w:r>
        <w:rPr>
          <w:rFonts w:ascii="Consolas" w:cs="Consolas" w:eastAsia="Consolas" w:hAnsi="Consolas"/>
          <w:color w:val="0B5A38"/>
          <w:sz w:val="19"/>
          <w:szCs w:val="19"/>
        </w:rPr>
        <w:t xml:space="preserve">market_value</w:t>
      </w:r>
      <w:r>
        <w:t xml:space="preserve"> for that priced unit returns price + trend + velocity.</w:t>
      </w:r>
    </w:p>
    <w:p>
      <w:pPr>
        <w:pStyle w:val="ListParagraph"/>
        <w:numPr>
          <w:ilvl w:val="0"/>
          <w:numId w:val="3"/>
        </w:numPr>
        <w:spacing w:after="64" w:line="262"/>
      </w:pPr>
      <w:r>
        <w:t xml:space="preserve">The offer engine consumes value + demand + velocity → recommended/max offer.</w:t>
      </w:r>
    </w:p>
    <w:p>
      <w:pPr>
        <w:pStyle w:val="ListParagraph"/>
        <w:numPr>
          <w:ilvl w:val="0"/>
          <w:numId w:val="3"/>
        </w:numPr>
        <w:spacing w:after="64" w:line="262"/>
      </w:pPr>
      <w:r>
        <w:t xml:space="preserve">The scan + outcome is written to </w:t>
      </w:r>
      <w:r>
        <w:rPr>
          <w:rFonts w:ascii="Consolas" w:cs="Consolas" w:eastAsia="Consolas" w:hAnsi="Consolas"/>
          <w:color w:val="0B5A38"/>
          <w:sz w:val="19"/>
          <w:szCs w:val="19"/>
        </w:rPr>
        <w:t xml:space="preserve">id_observation</w:t>
      </w:r>
      <w:r>
        <w:t xml:space="preserve"> — feeding the next model.</w:t>
      </w:r>
    </w:p>
    <w:p>
      <w:pPr>
        <w:spacing w:after="140"/>
      </w:pPr>
      <w:r>
        <w:t xml:space="preserve"/>
      </w:r>
    </w:p>
    <w:p>
      <w:pPr>
        <w:pBdr>
          <w:left w:val="single" w:color="0E9E5A" w:sz="18" w:space="8"/>
        </w:pBdr>
        <w:shd w:fill="F4F7F5" w:val="clear"/>
        <w:spacing w:after="120" w:before="120"/>
      </w:pPr>
      <w:r>
        <w:rPr>
          <w:b/>
          <w:bCs/>
          <w:color w:val="0A0A0A"/>
        </w:rPr>
        <w:t xml:space="preserve">Build order: </w:t>
      </w:r>
      <w:r>
        <w:rPr>
          <w:i/>
          <w:iCs/>
          <w:color w:val="0A0A0A"/>
        </w:rPr>
        <w:t xml:space="preserve">Run 01 → 02 → 03 → 04 in sequence. Start ingestion with Pokémon (best public catalog), then MTG (Scryfall), then sports (build the moat), then comics (GCD).</w:t>
      </w:r>
    </w:p>
    <w:sectPr>
      <w:headerReference w:type="default" r:id="rId7"/>
      <w:footerReference w:type="default" r:id="rId8"/>
      <w:pgSz w:w="12240" w:h="15840" w:orient="portrait"/>
      <w:pgMar w:top="1320" w:right="1320" w:bottom="132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258 Services — Confidential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VaultOS · Catalog Schema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rPr>
        <w:color w:val="1A7A4A"/>
      </w:rPr>
    </w:lvl>
  </w:abstractNum>
  <w:abstractNum w:abstractNumId="3" w15:restartNumberingAfterBreak="0">
    <w:multiLevelType w:val="hybridMultilevel"/>
    <w:lvl w:ilvl="0" w15:tentative="1">
      <w:start w:val="1"/>
      <w:numFmt w:val="decimal"/>
      <w:lvlText w:val="%1."/>
      <w:lvlJc w:val="left"/>
      <w:pPr>
        <w:ind w:left="44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0A0A0A"/>
      <w:sz w:val="38"/>
      <w:szCs w:val="38"/>
    </w:rPr>
  </w:style>
  <w:style w:type="paragraph" w:styleId="Heading2">
    <w:name w:val="Heading 2"/>
    <w:basedOn w:val="Normal"/>
    <w:next w:val="Normal"/>
    <w:qFormat/>
    <w:pPr>
      <w:spacing w:after="90" w:before="200"/>
      <w:outlineLvl w:val="1"/>
    </w:pPr>
    <w:rPr>
      <w:b/>
      <w:bCs/>
      <w:color w:val="1A7A4A"/>
      <w:sz w:val="27"/>
      <w:szCs w:val="27"/>
    </w:rPr>
  </w:style>
  <w:style w:type="paragraph" w:styleId="Heading3">
    <w:name w:val="Heading 3"/>
    <w:basedOn w:val="Normal"/>
    <w:next w:val="Normal"/>
    <w:qFormat/>
    <w:pPr>
      <w:spacing w:after="60" w:before="150"/>
      <w:outlineLvl w:val="2"/>
    </w:pPr>
    <w:rPr>
      <w:b/>
      <w:bCs/>
      <w:color w:val="0A0A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VaultOS Catalog Schema Reference</dc:title>
  <dc:creator>258 Services</dc:creator>
  <cp:lastModifiedBy>Un-named</cp:lastModifiedBy>
  <cp:revision>1</cp:revision>
  <dcterms:created xsi:type="dcterms:W3CDTF">2026-06-29T04:05:12.031Z</dcterms:created>
  <dcterms:modified xsi:type="dcterms:W3CDTF">2026-06-29T04:05:12.042Z</dcterms:modified>
</cp:coreProperties>
</file>

<file path=docProps/custom.xml><?xml version="1.0" encoding="utf-8"?>
<Properties xmlns="http://schemas.openxmlformats.org/officeDocument/2006/custom-properties" xmlns:vt="http://schemas.openxmlformats.org/officeDocument/2006/docPropsVTypes"/>
</file>