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0.2 (23.09.2025)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grundlegende Kompetenzen rund um das Gestalten von Veränderungen - auch Change Management genannt - zu entwickeln. Wir gehen besonders auf das Begleitung von Veränderungen im IT Kontext ein. Jedoch sind viele Ansätze so universell, dass es eigentlich für alle Bereiche genutzt werden kann.</w:t>
      </w:r>
      <w:r>
        <w:t xml:space="preserve"> </w:t>
      </w:r>
      <w:r>
        <w:t xml:space="preserve">Der Leitfaden ist in Version 0.2 noch in einer Betaversion. Da verschiedene Experten und Expertinnen als Autoren dabei waren, gibt es sicher noch einige Unterschiede in Ton oder Tiefe. Gebt uns gerne inhaltich Feedback, am besten direkt im Feedback Bereich auf GitHub.</w:t>
      </w:r>
      <w:r>
        <w:t xml:space="preserve"> </w:t>
      </w:r>
      <w:r>
        <w:t xml:space="preserve">Wir verwenden (meistens) die persönliche Ansprache (Du oder Ihr), um Nähe und Augenhöhe zu schaffen. Beim Gendern wechseln wir, natürlich sind hier immer alle Geschlechter gemeint.</w:t>
      </w:r>
    </w:p>
    <w:bookmarkEnd w:id="9"/>
    <w:bookmarkStart w:id="10" w:name="die-zielgruppe-des-leitfadens"/>
    <w:p>
      <w:pPr>
        <w:pStyle w:val="Heading1"/>
      </w:pPr>
      <w:r>
        <w:rPr>
          <w:rStyle w:val="SectionNumber"/>
        </w:rPr>
        <w:t xml:space="preserve">2</w:t>
      </w:r>
      <w:r>
        <w:tab/>
      </w:r>
      <w:r>
        <w:t xml:space="preserve">Die Zielgruppe des Leitfadens</w:t>
      </w:r>
    </w:p>
    <w:p>
      <w:pPr>
        <w:pStyle w:val="FirstParagraph"/>
      </w:pPr>
      <w:r>
        <w:t xml:space="preserve">Dies sind alle, die sich für das Thema interessieren und die bei Veränderungen mitarbeiten. Das sind zum Beispiel Change Agents, Projektleiter oder ManagerInnen. Da wir eher Grundlagen behandeln, sind die Inhalte eher zu basic für absolute Change Profis. Aber beim gemeinsamen Lernen lernen vielleicht auch Sie neue Dinge.</w:t>
      </w:r>
    </w:p>
    <w:bookmarkEnd w:id="10"/>
    <w:bookmarkStart w:id="21" w:name="über-lernos"/>
    <w:p>
      <w:pPr>
        <w:pStyle w:val="Heading1"/>
      </w:pPr>
      <w:r>
        <w:rPr>
          <w:rStyle w:val="SectionNumber"/>
        </w:rPr>
        <w:t xml:space="preserve">3</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1">
        <w:r>
          <w:rPr>
            <w:rStyle w:val="Hyperlink"/>
          </w:rPr>
          <w:t xml:space="preserve">Creative Commons Namensnennung 4.0 International</w:t>
        </w:r>
      </w:hyperlink>
      <w:r>
        <w:t xml:space="preserve"> </w:t>
      </w:r>
      <w:r>
        <w:t xml:space="preserve">(CC BY 4.0):</w:t>
      </w:r>
    </w:p>
    <w:p>
      <w:pPr>
        <w:pStyle w:val="BodyText"/>
      </w:pPr>
      <w:r>
        <w:drawing>
          <wp:inline>
            <wp:extent cx="2540000" cy="901700"/>
            <wp:effectExtent b="0" l="0" r="0" t="0"/>
            <wp:docPr descr="" title="" id="13" name="Picture"/>
            <a:graphic>
              <a:graphicData uri="http://schemas.openxmlformats.org/drawingml/2006/picture">
                <pic:pic>
                  <pic:nvPicPr>
                    <pic:cNvPr descr="./images/CC-BY.png" id="14" name="Picture"/>
                    <pic:cNvPicPr>
                      <a:picLocks noChangeArrowheads="1" noChangeAspect="1"/>
                    </pic:cNvPicPr>
                  </pic:nvPicPr>
                  <pic:blipFill>
                    <a:blip r:embed="rId12"/>
                    <a:stretch>
                      <a:fillRect/>
                    </a:stretch>
                  </pic:blipFill>
                  <pic:spPr bwMode="auto">
                    <a:xfrm>
                      <a:off x="0" y="0"/>
                      <a:ext cx="2540000" cy="901700"/>
                    </a:xfrm>
                    <a:prstGeom prst="rect">
                      <a:avLst/>
                    </a:prstGeom>
                    <a:noFill/>
                    <a:ln w="9525">
                      <a:noFill/>
                      <a:headEnd/>
                      <a:tailEnd/>
                    </a:ln>
                  </pic:spPr>
                </pic:pic>
              </a:graphicData>
            </a:graphic>
          </wp:inline>
        </w:drawing>
      </w:r>
    </w:p>
    <w:bookmarkStart w:id="15" w:name="why---warum-braucht-es-lernos"/>
    <w:p>
      <w:pPr>
        <w:pStyle w:val="Heading2"/>
      </w:pPr>
      <w:r>
        <w:rPr>
          <w:rStyle w:val="SectionNumber"/>
        </w:rPr>
        <w:t xml:space="preserve">3.1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5"/>
    <w:bookmarkStart w:id="16" w:name="what---was-ist-lernos"/>
    <w:p>
      <w:pPr>
        <w:pStyle w:val="Heading2"/>
      </w:pPr>
      <w:r>
        <w:rPr>
          <w:rStyle w:val="SectionNumber"/>
        </w:rPr>
        <w:t xml:space="preserve">3.2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6"/>
    <w:bookmarkStart w:id="20" w:name="how---wie-kann-ich-anfangen"/>
    <w:p>
      <w:pPr>
        <w:pStyle w:val="Heading2"/>
      </w:pPr>
      <w:r>
        <w:rPr>
          <w:rStyle w:val="SectionNumber"/>
        </w:rPr>
        <w:t xml:space="preserve">3.3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7">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8">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1">
        <w:r>
          <w:rPr>
            <w:rStyle w:val="Hyperlink"/>
          </w:rPr>
          <w:t xml:space="preserve">Creative Commons Namensnennung 4.0 International</w:t>
        </w:r>
      </w:hyperlink>
      <w:r>
        <w:t xml:space="preserve"> </w:t>
      </w:r>
      <w:r>
        <w:t xml:space="preserve">(CC BY) findet ihr auf der</w:t>
      </w:r>
      <w:r>
        <w:t xml:space="preserve"> </w:t>
      </w:r>
      <w:hyperlink r:id="rId19">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0"/>
    <w:bookmarkEnd w:id="21"/>
    <w:bookmarkStart w:id="110" w:name="grundlagen"/>
    <w:p>
      <w:pPr>
        <w:pStyle w:val="Heading1"/>
      </w:pPr>
      <w:r>
        <w:rPr>
          <w:rStyle w:val="SectionNumber"/>
        </w:rPr>
        <w:t xml:space="preserve">4</w:t>
      </w:r>
      <w:r>
        <w:tab/>
      </w:r>
      <w:r>
        <w:t xml:space="preserve">Grundlagen</w:t>
      </w:r>
    </w:p>
    <w:bookmarkStart w:id="53" w:name="einführung-in-change-management"/>
    <w:p>
      <w:pPr>
        <w:pStyle w:val="Heading2"/>
      </w:pPr>
      <w:r>
        <w:rPr>
          <w:rStyle w:val="SectionNumber"/>
        </w:rPr>
        <w:t xml:space="preserve">4.1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der Projektleitung oder in kleinen Projekten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Change Management Modelle vorgestellt. Einige sind schon älter und haben eine besondere Herkunft. Wir denken jedoch, dass es interessant ist, von ihnen gehört zu haben.</w:t>
      </w:r>
    </w:p>
    <w:bookmarkStart w:id="22" w:name="X0f51fb07d2c378a292323c82f84534d5eb062c3"/>
    <w:p>
      <w:pPr>
        <w:pStyle w:val="Heading3"/>
      </w:pPr>
      <w:r>
        <w:rPr>
          <w:rStyle w:val="SectionNumber"/>
        </w:rPr>
        <w:t xml:space="preserve">4.1.1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Mitarbeitenden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2"/>
    <w:bookmarkStart w:id="24" w:name="john-p.-kotter-leading-change"/>
    <w:p>
      <w:pPr>
        <w:pStyle w:val="Heading3"/>
      </w:pPr>
      <w:r>
        <w:rPr>
          <w:rStyle w:val="SectionNumber"/>
        </w:rPr>
        <w:t xml:space="preserve">4.1.2</w:t>
      </w:r>
      <w:r>
        <w:tab/>
      </w:r>
      <w:r>
        <w:t xml:space="preserve">John P. Kotter – Leading Change</w:t>
      </w:r>
    </w:p>
    <w:p>
      <w:pPr>
        <w:pStyle w:val="FirstParagraph"/>
      </w:pPr>
      <w:r>
        <w:t xml:space="preserve">John P. Kotter, Professor an der Harvard Business School, entwickelte ein</w:t>
      </w:r>
      <w:r>
        <w:t xml:space="preserve"> </w:t>
      </w:r>
      <w:hyperlink r:id="rId23">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4"/>
    <w:bookmarkStart w:id="25" w:name="adkar-von-proscii"/>
    <w:p>
      <w:pPr>
        <w:pStyle w:val="Heading3"/>
      </w:pPr>
      <w:r>
        <w:rPr>
          <w:rStyle w:val="SectionNumber"/>
        </w:rPr>
        <w:t xml:space="preserve">4.1.3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Mitarbeitende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5"/>
    <w:bookmarkStart w:id="26" w:name="die-veränderungskurve"/>
    <w:p>
      <w:pPr>
        <w:pStyle w:val="Heading3"/>
      </w:pPr>
      <w:r>
        <w:rPr>
          <w:rStyle w:val="SectionNumber"/>
        </w:rPr>
        <w:t xml:space="preserve">4.1.4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6"/>
    <w:bookmarkStart w:id="27" w:name="das-sap-ocm-framework"/>
    <w:p>
      <w:pPr>
        <w:pStyle w:val="Heading3"/>
      </w:pPr>
      <w:r>
        <w:rPr>
          <w:rStyle w:val="SectionNumber"/>
        </w:rPr>
        <w:t xml:space="preserve">4.1.5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t xml:space="preserve">Einbindung, Kommunikation, Befähigung &amp; Empowerment 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schliessen sich dabei meist direkt an.</w:t>
      </w:r>
    </w:p>
    <w:p>
      <w:pPr>
        <w:pStyle w:val="BodyText"/>
      </w:pPr>
      <w:r>
        <w:rPr>
          <w:b/>
          <w:bCs/>
        </w:rPr>
        <w:t xml:space="preserve">Change Enablement</w:t>
      </w:r>
      <w:r>
        <w:t xml:space="preserve"> </w:t>
      </w:r>
      <w:r>
        <w:t xml:space="preserve">bietet während des Transformationsprozesses umfassende Schulungen und Lernangebote für Expertinnen sowie für die User. Zuerst werden üblicherweise das Projektteam und Management geschult, später die User.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7"/>
    <w:bookmarkStart w:id="28" w:name="terminologie-von-change-in-it-projekten"/>
    <w:p>
      <w:pPr>
        <w:pStyle w:val="Heading3"/>
      </w:pPr>
      <w:r>
        <w:rPr>
          <w:rStyle w:val="SectionNumber"/>
        </w:rPr>
        <w:t xml:space="preserve">4.1.6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8"/>
    <w:bookmarkStart w:id="30" w:name="X3f86e5866e5b4a99e17defe3c65e8594d43cbba"/>
    <w:p>
      <w:pPr>
        <w:pStyle w:val="Heading3"/>
      </w:pPr>
      <w:r>
        <w:rPr>
          <w:rStyle w:val="SectionNumber"/>
        </w:rPr>
        <w:t xml:space="preserve">4.1.7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29">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0"/>
    <w:bookmarkStart w:id="38" w:name="quellen-und-weitere-informationen"/>
    <w:p>
      <w:pPr>
        <w:pStyle w:val="Heading3"/>
      </w:pPr>
      <w:r>
        <w:rPr>
          <w:rStyle w:val="SectionNumber"/>
        </w:rPr>
        <w:t xml:space="preserve">4.1.8</w:t>
      </w:r>
      <w:r>
        <w:tab/>
      </w:r>
      <w:r>
        <w:t xml:space="preserve">Quellen und weitere Informationen</w:t>
      </w:r>
    </w:p>
    <w:p>
      <w:pPr>
        <w:pStyle w:val="Compact"/>
        <w:numPr>
          <w:ilvl w:val="0"/>
          <w:numId w:val="1005"/>
        </w:numPr>
      </w:pPr>
      <w:r>
        <w:t xml:space="preserve">Definition of</w:t>
      </w:r>
      <w:r>
        <w:t xml:space="preserve"> </w:t>
      </w:r>
      <w:hyperlink r:id="rId31">
        <w:r>
          <w:rPr>
            <w:rStyle w:val="Hyperlink"/>
          </w:rPr>
          <w:t xml:space="preserve">Change management</w:t>
        </w:r>
      </w:hyperlink>
    </w:p>
    <w:p>
      <w:pPr>
        <w:pStyle w:val="Compact"/>
        <w:numPr>
          <w:ilvl w:val="0"/>
          <w:numId w:val="1005"/>
        </w:numPr>
      </w:pPr>
      <w:hyperlink r:id="rId32">
        <w:r>
          <w:rPr>
            <w:rStyle w:val="Hyperlink"/>
          </w:rPr>
          <w:t xml:space="preserve">Podcast von Prof. Trost zu Change Management</w:t>
        </w:r>
      </w:hyperlink>
    </w:p>
    <w:p>
      <w:pPr>
        <w:pStyle w:val="Compact"/>
        <w:numPr>
          <w:ilvl w:val="0"/>
          <w:numId w:val="1005"/>
        </w:numPr>
      </w:pPr>
      <w:hyperlink r:id="rId33">
        <w:r>
          <w:rPr>
            <w:rStyle w:val="Hyperlink"/>
          </w:rPr>
          <w:t xml:space="preserve">Change Workout - Infoseite</w:t>
        </w:r>
      </w:hyperlink>
    </w:p>
    <w:p>
      <w:pPr>
        <w:pStyle w:val="Compact"/>
        <w:numPr>
          <w:ilvl w:val="0"/>
          <w:numId w:val="1005"/>
        </w:numPr>
      </w:pPr>
      <w:hyperlink r:id="rId34">
        <w:r>
          <w:rPr>
            <w:rStyle w:val="Hyperlink"/>
          </w:rPr>
          <w:t xml:space="preserve">70 Prozent aller Change-Vorhaben scheitern n-immer</w:t>
        </w:r>
      </w:hyperlink>
    </w:p>
    <w:p>
      <w:pPr>
        <w:pStyle w:val="Compact"/>
        <w:numPr>
          <w:ilvl w:val="0"/>
          <w:numId w:val="1005"/>
        </w:numPr>
      </w:pPr>
      <w:hyperlink r:id="rId35">
        <w:r>
          <w:rPr>
            <w:rStyle w:val="Hyperlink"/>
          </w:rPr>
          <w:t xml:space="preserve">Reflektion der Nutzung von Change Modellen</w:t>
        </w:r>
      </w:hyperlink>
    </w:p>
    <w:p>
      <w:pPr>
        <w:pStyle w:val="Compact"/>
        <w:numPr>
          <w:ilvl w:val="0"/>
          <w:numId w:val="1005"/>
        </w:numPr>
      </w:pPr>
      <w:hyperlink r:id="rId36">
        <w:r>
          <w:rPr>
            <w:rStyle w:val="Hyperlink"/>
          </w:rPr>
          <w:t xml:space="preserve">Metatheorie der Veränderung Infoseite</w:t>
        </w:r>
      </w:hyperlink>
    </w:p>
    <w:p>
      <w:pPr>
        <w:pStyle w:val="Compact"/>
        <w:numPr>
          <w:ilvl w:val="0"/>
          <w:numId w:val="1005"/>
        </w:numPr>
      </w:pPr>
      <w:hyperlink r:id="rId37">
        <w:r>
          <w:rPr>
            <w:rStyle w:val="Hyperlink"/>
          </w:rPr>
          <w:t xml:space="preserve">Change Management auf Wikipedia</w:t>
        </w:r>
      </w:hyperlink>
    </w:p>
    <w:p>
      <w:pPr>
        <w:pStyle w:val="Compact"/>
        <w:numPr>
          <w:ilvl w:val="0"/>
          <w:numId w:val="1005"/>
        </w:numPr>
      </w:pPr>
      <w:r>
        <w:t xml:space="preserve">“Leading Change” von John P. Kotter oder</w:t>
      </w:r>
      <w:r>
        <w:t xml:space="preserve"> </w:t>
      </w:r>
      <w:r>
        <w:t xml:space="preserve">“Managing Transitions: Making the Most of Change”</w:t>
      </w:r>
      <w:r>
        <w:t xml:space="preserve"> </w:t>
      </w:r>
      <w:r>
        <w:t xml:space="preserve">von William Bridges</w:t>
      </w:r>
    </w:p>
    <w:p>
      <w:pPr>
        <w:pStyle w:val="Compact"/>
        <w:numPr>
          <w:ilvl w:val="0"/>
          <w:numId w:val="1005"/>
        </w:numPr>
      </w:pPr>
      <w:r>
        <w:t xml:space="preserve">Beides sind Standardwerke, wenn auch zum Teil nicht mehr auf der Höhe der Zeit. Während Kotter einen strukturierten, prozessorientierten Ansatz bietet, hilft Bridges, die menschlichen und emotionalen Dimensionen des Wandels zu verstehen und zu managen. Zusammen liefern sie eine umfassende Perspektive darauf, wie Führungskräfte ihre Rolle im Change-Management erfolgreich ausfüllen können.</w:t>
      </w:r>
    </w:p>
    <w:p>
      <w:pPr>
        <w:pStyle w:val="Compact"/>
        <w:numPr>
          <w:ilvl w:val="0"/>
          <w:numId w:val="1005"/>
        </w:numPr>
      </w:pPr>
      <w:r>
        <w:t xml:space="preserve">Our Iceberg is Melting bzw. Das Pinguin Prinzip (John P. Kotter): einfach, schnell zu lesende und kurzweilige Business-Fabel zu Change Management</w:t>
      </w:r>
    </w:p>
    <w:bookmarkEnd w:id="38"/>
    <w:bookmarkStart w:id="49" w:name="rollen-im-veränderungsprojekt"/>
    <w:p>
      <w:pPr>
        <w:pStyle w:val="Heading3"/>
      </w:pPr>
      <w:r>
        <w:rPr>
          <w:rStyle w:val="SectionNumber"/>
        </w:rPr>
        <w:t xml:space="preserve">4.1.9</w:t>
      </w:r>
      <w:r>
        <w:tab/>
      </w:r>
      <w:r>
        <w:t xml:space="preserve">Rollen im Veränderungsprojekt</w:t>
      </w:r>
    </w:p>
    <w:bookmarkStart w:id="39" w:name="X48fd3a7571f7ff5fc2b1ae0fec7e6710373829b"/>
    <w:p>
      <w:pPr>
        <w:pStyle w:val="Heading4"/>
      </w:pPr>
      <w:r>
        <w:rPr>
          <w:rStyle w:val="SectionNumber"/>
        </w:rPr>
        <w:t xml:space="preserve">4.1.9.1</w:t>
      </w:r>
      <w:r>
        <w:tab/>
      </w:r>
      <w:r>
        <w:t xml:space="preserve">Projektsponsor/ Auftraggeber in Change Projekten</w:t>
      </w:r>
    </w:p>
    <w:p>
      <w:pPr>
        <w:pStyle w:val="FirstParagraph"/>
      </w:pPr>
      <w:r>
        <w:t xml:space="preserve">Ein Projektsponsor ist ein besonderer Stakeholder mit speziellem Einfluss auf den Erfolg eines Projekts.</w:t>
      </w:r>
    </w:p>
    <w:p>
      <w:pPr>
        <w:pStyle w:val="BodyText"/>
      </w:pPr>
      <w:r>
        <w:t xml:space="preserve">Es gibt verschiedene Möglichkeiten für einen Projektsponsor, das Projekt effektiv zu unterstützen: dabei trägt der die Projektsponsor in vor allem die Verantwortung für die unternehmerische Zielsetzung, also den Beitrag zum Geschäftsergebnis, den das Projektergebnis liefern soll. Insofern definiert der Projektsponsor die Vision, die Ziele und die Strategie, die das Projekt verfolgen soll.</w:t>
      </w:r>
    </w:p>
    <w:p>
      <w:pPr>
        <w:pStyle w:val="BodyText"/>
      </w:pPr>
      <w:r>
        <w:t xml:space="preserve">Zudem ist derProjektsponsor für das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 Projektsponsor zeigt in der Innen- und Außenkommunikation, dass er uneingeschränkt hinter diesem Projekt und dem Projektleiter steht und Unterstützung von allen Beteiligten einfordert. Damit wird das Projekt legitimiert und dem Projektleiter die erforderliche Autorität verliehen.</w:t>
      </w:r>
    </w:p>
    <w:p>
      <w:pPr>
        <w:pStyle w:val="BodyText"/>
      </w:pPr>
      <w:r>
        <w:t xml:space="preserve">Ein guter Projektsponsor unterstützt den Projektleiter in kritischen Situationen und stärkt ihm den Rücken. Viele Projektleiter sind im Sinne eines guten Leaderships häufig sehr dankbar, wenn der Projektsponsor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Projektsponsoren sollten sich dem Erfolg des Projekts verpflichtet fühlen und alle Maßnahmen ergreifen, die dafür erforderlich sind.</w:t>
      </w:r>
    </w:p>
    <w:bookmarkEnd w:id="39"/>
    <w:bookmarkStart w:id="44" w:name="projektleitung-in-change-projekten"/>
    <w:p>
      <w:pPr>
        <w:pStyle w:val="Heading4"/>
      </w:pPr>
      <w:r>
        <w:rPr>
          <w:rStyle w:val="SectionNumber"/>
        </w:rPr>
        <w:t xml:space="preserve">4.1.9.2</w:t>
      </w:r>
      <w:r>
        <w:tab/>
      </w:r>
      <w:r>
        <w:t xml:space="preserve">Projektleitung in Change Projekten</w:t>
      </w:r>
    </w:p>
    <w:p>
      <w:pPr>
        <w:pStyle w:val="FirstParagraph"/>
      </w:pPr>
      <w:r>
        <w:t xml:space="preserve">Die Projektleitung ist im Rahmen der</w:t>
      </w:r>
      <w:r>
        <w:t xml:space="preserve"> </w:t>
      </w:r>
      <w:hyperlink r:id="rId40">
        <w:r>
          <w:rPr>
            <w:rStyle w:val="Hyperlink"/>
          </w:rPr>
          <w:t xml:space="preserve">Projektorganisation</w:t>
        </w:r>
      </w:hyperlink>
      <w:r>
        <w:t xml:space="preserve"> </w:t>
      </w:r>
      <w:r>
        <w:t xml:space="preserve">die organisatorische Stelle, der die operative Kontrolle eines</w:t>
      </w:r>
      <w:r>
        <w:t xml:space="preserve"> </w:t>
      </w:r>
      <w:hyperlink r:id="rId41">
        <w:r>
          <w:rPr>
            <w:rStyle w:val="Hyperlink"/>
          </w:rPr>
          <w:t xml:space="preserve">Projektes</w:t>
        </w:r>
      </w:hyperlink>
      <w:r>
        <w:t xml:space="preserve"> </w:t>
      </w:r>
      <w:r>
        <w:t xml:space="preserve">unterliegt. Aufgabe dieser Organisationseinheit ist primär das</w:t>
      </w:r>
      <w:r>
        <w:t xml:space="preserve"> </w:t>
      </w:r>
      <w:hyperlink r:id="rId42">
        <w:r>
          <w:rPr>
            <w:rStyle w:val="Hyperlink"/>
          </w:rPr>
          <w:t xml:space="preserve">Projektmanagement</w:t>
        </w:r>
      </w:hyperlink>
      <w:r>
        <w:t xml:space="preserve">; in kleineren Projekten wird die Projektleitung durch den</w:t>
      </w:r>
      <w:r>
        <w:t xml:space="preserve"> </w:t>
      </w:r>
      <w:hyperlink r:id="rId43">
        <w:r>
          <w:rPr>
            <w:rStyle w:val="Hyperlink"/>
          </w:rPr>
          <w:t xml:space="preserve">Projektleiter</w:t>
        </w:r>
      </w:hyperlink>
      <w:r>
        <w:t xml:space="preserve"> </w:t>
      </w:r>
      <w:r>
        <w:t xml:space="preserve">gebildet, in größeren Projekten steht dieser einer Gruppe von Personen und eventuell zusätzlich mehreren Teilprojektleiter vor.</w:t>
      </w:r>
    </w:p>
    <w:p>
      <w:pPr>
        <w:pStyle w:val="BodyText"/>
      </w:pPr>
      <w:r>
        <w:t xml:space="preserve">Bei modernen Organisationskonzepten besteht die Projektleitung umfangreicher Projekte aus mehreren Projektleitern,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Mitarbeitendenkosten)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 innen</w:t>
      </w:r>
    </w:p>
    <w:p>
      <w:pPr>
        <w:pStyle w:val="Compact"/>
        <w:numPr>
          <w:ilvl w:val="0"/>
          <w:numId w:val="1006"/>
        </w:numPr>
      </w:pPr>
      <w:r>
        <w:t xml:space="preserve">Dokumentation des Projektes</w:t>
      </w:r>
    </w:p>
    <w:bookmarkEnd w:id="44"/>
    <w:bookmarkStart w:id="45" w:name="projektmitglieder-in-change-projekten"/>
    <w:p>
      <w:pPr>
        <w:pStyle w:val="Heading4"/>
      </w:pPr>
      <w:r>
        <w:rPr>
          <w:rStyle w:val="SectionNumber"/>
        </w:rPr>
        <w:t xml:space="preserve">4.1.9.3</w:t>
      </w:r>
      <w:r>
        <w:tab/>
      </w:r>
      <w:r>
        <w:t xml:space="preserve">Projektmitglieder in Change Projekten</w:t>
      </w:r>
    </w:p>
    <w:p>
      <w:pPr>
        <w:pStyle w:val="FirstParagraph"/>
      </w:pPr>
      <w:r>
        <w:t xml:space="preserve">Die Begriffe</w:t>
      </w:r>
      <w:r>
        <w:t xml:space="preserve"> </w:t>
      </w:r>
      <w:r>
        <w:t xml:space="preserve">“Projektmitglieder”</w:t>
      </w:r>
      <w:r>
        <w:t xml:space="preserve"> </w:t>
      </w:r>
      <w:r>
        <w:t xml:space="preserve">oder</w:t>
      </w:r>
      <w:r>
        <w:t xml:space="preserve"> </w:t>
      </w:r>
      <w:r>
        <w:t xml:space="preserve">“Projektteilnehmende”</w:t>
      </w:r>
      <w:r>
        <w:t xml:space="preserve"> </w:t>
      </w:r>
      <w:r>
        <w:t xml:space="preserve">können als Oberbegriff für die Mitglieder des Projektteams und der Projektmitarbeitenden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oder Projektteilnehmenden direkt einen Beitrag zum Projektergebnis leisten. Personen oder Organisationen, die nur von den Auswirkungen des Projekts betroffen sind, aber keine Mitwirkung am Projekt haben, zählen somit nicht zu den Projektmitgliedern oder Projektteilnehmenden.</w:t>
      </w:r>
    </w:p>
    <w:p>
      <w:pPr>
        <w:pStyle w:val="BodyText"/>
      </w:pPr>
      <w:r>
        <w:t xml:space="preserve">Da die Projektmitglieder die Personen sind, die am meisten mit den Stakeholdern / Betroffenen einer Veränderung in Kontakt stehen, sollten sie ausreichend Change-Management Kompetenz haben.</w:t>
      </w:r>
    </w:p>
    <w:bookmarkEnd w:id="45"/>
    <w:bookmarkStart w:id="46" w:name="change-manager-in-change-projekten"/>
    <w:p>
      <w:pPr>
        <w:pStyle w:val="Heading4"/>
      </w:pPr>
      <w:r>
        <w:rPr>
          <w:rStyle w:val="SectionNumber"/>
        </w:rPr>
        <w:t xml:space="preserve">4.1.9.4</w:t>
      </w:r>
      <w:r>
        <w:tab/>
      </w:r>
      <w:r>
        <w:t xml:space="preserve">Change Manager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46"/>
    <w:bookmarkStart w:id="47" w:name="change-agents"/>
    <w:p>
      <w:pPr>
        <w:pStyle w:val="Heading4"/>
      </w:pPr>
      <w:r>
        <w:rPr>
          <w:rStyle w:val="SectionNumber"/>
        </w:rPr>
        <w:t xml:space="preserve">4.1.9.5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 als auch interne Mitarbeitende wahrnehmen. Wichtig ist jedoch, dass die Change Agents neben ihren projektbezogenen Kenntnissen und Fähigkeiten</w:t>
      </w:r>
    </w:p>
    <w:p>
      <w:pPr>
        <w:pStyle w:val="Compact"/>
        <w:numPr>
          <w:ilvl w:val="0"/>
          <w:numId w:val="1008"/>
        </w:numPr>
      </w:pPr>
      <w:r>
        <w:t xml:space="preserve">von allen Mitarbeitenden als Vertrauensperson und lokale r Ansprechpartner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 Sie sensibilisieren und informieren Kollegen in Hinblick auf die anstehende Veränderung. Das bedeutet zum Beispiel, dass sie auf Trainingsangebote hinweisen oder diese selbst organisieren. Sie haben ein offenes Ohr für die Bedürfnisse der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Mitarbeitenden wie End-Usern.</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Fürsprechern und Treibern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Kollegen zu informieren.</w:t>
      </w:r>
    </w:p>
    <w:p>
      <w:pPr>
        <w:pStyle w:val="BodyText"/>
      </w:pPr>
      <w:r>
        <w:t xml:space="preserve">Abgrenzung: Change Agents vs. Key-User</w:t>
      </w:r>
    </w:p>
    <w:p>
      <w:pPr>
        <w:pStyle w:val="Compact"/>
        <w:numPr>
          <w:ilvl w:val="0"/>
          <w:numId w:val="1009"/>
        </w:numPr>
      </w:pPr>
      <w:r>
        <w:t xml:space="preserve">Change Agents: Sie sind die frühen Anwender und Multiplikatoren in ihren Abteilungen, die speziell im Umgang mit Veränderungen geschult sind und das Erlernte an andere weitergeben. Ihre Rolle ist oft freiwillig und intrinsisch motiviert.</w:t>
      </w:r>
    </w:p>
    <w:p>
      <w:pPr>
        <w:pStyle w:val="Compact"/>
        <w:numPr>
          <w:ilvl w:val="0"/>
          <w:numId w:val="1009"/>
        </w:numPr>
      </w:pPr>
      <w:r>
        <w:t xml:space="preserve">Key-User: Im Gegensatz dazu konzentrieren sich Key-User stärker auf das technische Know-how und die Unterstützung anderer Mitarbeitenden,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7"/>
    <w:bookmarkStart w:id="48" w:name="die-rolle-von-führungskräften-im-change"/>
    <w:p>
      <w:pPr>
        <w:pStyle w:val="Heading4"/>
      </w:pPr>
      <w:r>
        <w:rPr>
          <w:rStyle w:val="SectionNumber"/>
        </w:rPr>
        <w:t xml:space="preserve">4.1.9.6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Mitarbeitenden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Mitarbeitende durch den Change helfen, bzw. coachen</w:t>
      </w:r>
    </w:p>
    <w:p>
      <w:pPr>
        <w:pStyle w:val="Compact"/>
        <w:numPr>
          <w:ilvl w:val="0"/>
          <w:numId w:val="1010"/>
        </w:numPr>
      </w:pPr>
      <w:r>
        <w:t xml:space="preserve">Verbindung zwischen ihren Mitarbeitenden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48"/>
    <w:bookmarkEnd w:id="49"/>
    <w:bookmarkStart w:id="52" w:name="quellen-und-weitere-informationen-1"/>
    <w:p>
      <w:pPr>
        <w:pStyle w:val="Heading3"/>
      </w:pPr>
      <w:r>
        <w:rPr>
          <w:rStyle w:val="SectionNumber"/>
        </w:rPr>
        <w:t xml:space="preserve">4.1.10</w:t>
      </w:r>
      <w:r>
        <w:tab/>
      </w:r>
      <w:r>
        <w:t xml:space="preserve">Quellen und weitere Informationen</w:t>
      </w:r>
    </w:p>
    <w:p>
      <w:pPr>
        <w:pStyle w:val="Compact"/>
        <w:numPr>
          <w:ilvl w:val="0"/>
          <w:numId w:val="1012"/>
        </w:numPr>
      </w:pPr>
      <w:hyperlink r:id="rId50">
        <w:r>
          <w:rPr>
            <w:rStyle w:val="Hyperlink"/>
          </w:rPr>
          <w:t xml:space="preserve">Rollen und Verantwortlichkeiten im Änderungsmanagement | Atlassian</w:t>
        </w:r>
      </w:hyperlink>
    </w:p>
    <w:p>
      <w:pPr>
        <w:pStyle w:val="Compact"/>
        <w:numPr>
          <w:ilvl w:val="0"/>
          <w:numId w:val="1012"/>
        </w:numPr>
      </w:pPr>
      <w:hyperlink r:id="rId51">
        <w:r>
          <w:rPr>
            <w:rStyle w:val="Hyperlink"/>
          </w:rPr>
          <w:t xml:space="preserve">CLARC: Die Rolle von Personalmanagern im Change Management |</w:t>
        </w:r>
      </w:hyperlink>
    </w:p>
    <w:bookmarkEnd w:id="52"/>
    <w:bookmarkEnd w:id="53"/>
    <w:bookmarkStart w:id="61" w:name="Xda89fa6e6721c5a3701df9d393cfa43eafad22d"/>
    <w:p>
      <w:pPr>
        <w:pStyle w:val="Heading2"/>
      </w:pPr>
      <w:r>
        <w:rPr>
          <w:rStyle w:val="SectionNumber"/>
        </w:rPr>
        <w:t xml:space="preserve">4.2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Enduser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4" w:name="die-psychologische-rolle-der-manager"/>
    <w:p>
      <w:pPr>
        <w:pStyle w:val="Heading3"/>
      </w:pPr>
      <w:r>
        <w:rPr>
          <w:rStyle w:val="SectionNumber"/>
        </w:rPr>
        <w:t xml:space="preserve">4.2.1</w:t>
      </w:r>
      <w:r>
        <w:tab/>
      </w:r>
      <w:r>
        <w:t xml:space="preserve">Die psychologische Rolle der Manager</w:t>
      </w:r>
    </w:p>
    <w:p>
      <w:pPr>
        <w:pStyle w:val="FirstParagraph"/>
      </w:pPr>
      <w:r>
        <w:t xml:space="preserve">Manager spielen eine entscheidende Rolle in IT-Change-Management-Projekten. Sie sind nicht nur Entscheidungsträgern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w:t>
      </w:r>
    </w:p>
    <w:p>
      <w:pPr>
        <w:pStyle w:val="BodyText"/>
      </w:pPr>
      <w:r>
        <w:t xml:space="preserve">Aus Forschung rund um Veränderungskompetenz wissen wir, dass es nicht nur um Persönlichkeit (wie Offenheit, Adaptivität), individuelle Methodenkompetenz oder Motivation geht, sondern auch um den Rahmen (Ressourcen, Ziele, Verantwortung bis hin zu Anweisungen)– den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Mitarbeitenden im Zusammenhang mit der Veränderung. Dies trägt dazu bei, die positiven Emotionen und kognitiven Überzeugungen der Mitarbeitenden zu stärken.</w:t>
      </w:r>
    </w:p>
    <w:bookmarkEnd w:id="54"/>
    <w:bookmarkStart w:id="60" w:name="X3f136ffb487f6ace3045a96f304eb9c2236c417"/>
    <w:p>
      <w:pPr>
        <w:pStyle w:val="Heading3"/>
      </w:pPr>
      <w:r>
        <w:rPr>
          <w:rStyle w:val="SectionNumber"/>
        </w:rPr>
        <w:t xml:space="preserve">4.2.2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5" w:name="kraftfeldanalyse"/>
    <w:p>
      <w:pPr>
        <w:pStyle w:val="Heading4"/>
      </w:pPr>
      <w:r>
        <w:rPr>
          <w:rStyle w:val="SectionNumber"/>
        </w:rPr>
        <w:t xml:space="preserve">4.2.2.1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5"/>
    <w:bookmarkStart w:id="57" w:name="X7220cfb26fc90d277fac27f615560c414ace5a0"/>
    <w:p>
      <w:pPr>
        <w:pStyle w:val="Heading4"/>
      </w:pPr>
      <w:r>
        <w:rPr>
          <w:rStyle w:val="SectionNumber"/>
        </w:rPr>
        <w:t xml:space="preserve">4.2.2.2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zu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geachtet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6">
        <w:r>
          <w:rPr>
            <w:rStyle w:val="Hyperlink"/>
          </w:rPr>
          <w:t xml:space="preserve">Quelle: Prof. Ina Kohl, Vortrag</w:t>
        </w:r>
      </w:hyperlink>
      <w:hyperlink r:id="rId56"/>
    </w:p>
    <w:bookmarkEnd w:id="57"/>
    <w:bookmarkStart w:id="59" w:name="umgang-mit-widerständen"/>
    <w:p>
      <w:pPr>
        <w:pStyle w:val="Heading4"/>
      </w:pPr>
      <w:r>
        <w:rPr>
          <w:rStyle w:val="SectionNumber"/>
        </w:rPr>
        <w:t xml:space="preserve">4.2.2.3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inkl.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58">
        <w:r>
          <w:rPr>
            <w:rStyle w:val="Hyperlink"/>
          </w:rPr>
          <w:t xml:space="preserve">SAP Training und Change Kaffee Ecke: Widerstände im Change – Ursachen, Formen und möglicher Umgang</w:t>
        </w:r>
      </w:hyperlink>
    </w:p>
    <w:bookmarkEnd w:id="59"/>
    <w:bookmarkEnd w:id="60"/>
    <w:bookmarkEnd w:id="61"/>
    <w:bookmarkStart w:id="70" w:name="kommunikation-im-change-management"/>
    <w:p>
      <w:pPr>
        <w:pStyle w:val="Heading2"/>
      </w:pPr>
      <w:r>
        <w:rPr>
          <w:rStyle w:val="SectionNumber"/>
        </w:rPr>
        <w:t xml:space="preserve">4.3</w:t>
      </w:r>
      <w:r>
        <w:tab/>
      </w:r>
      <w:r>
        <w:t xml:space="preserve">Kommunikation im Change-Management</w:t>
      </w:r>
    </w:p>
    <w:bookmarkStart w:id="62" w:name="X4389f68bb24c682e368c0e6171b80e98ffa44db"/>
    <w:p>
      <w:pPr>
        <w:pStyle w:val="Heading3"/>
      </w:pPr>
      <w:r>
        <w:rPr>
          <w:rStyle w:val="SectionNumber"/>
        </w:rPr>
        <w:t xml:space="preserve">4.3.1</w:t>
      </w:r>
      <w:r>
        <w:tab/>
      </w:r>
      <w:r>
        <w:t xml:space="preserve">Why - Warum ist Kommunikation wichtig im Change-Management?</w:t>
      </w:r>
    </w:p>
    <w:p>
      <w:pPr>
        <w:pStyle w:val="FirstParagraph"/>
      </w:pPr>
      <w:r>
        <w:t xml:space="preserve">Kommunikationsmaßnahmen für verschiedene Stakeholder Gruppen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Mitarbeitenden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die den Bezug zum Erleben in der Gegenwart und der erwünschten Zukunft darstellt.</w:t>
      </w:r>
    </w:p>
    <w:bookmarkEnd w:id="62"/>
    <w:bookmarkStart w:id="63" w:name="what-kommunikationsplan"/>
    <w:p>
      <w:pPr>
        <w:pStyle w:val="Heading3"/>
      </w:pPr>
      <w:r>
        <w:rPr>
          <w:rStyle w:val="SectionNumber"/>
        </w:rPr>
        <w:t xml:space="preserve">4.3.2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3"/>
    <w:bookmarkStart w:id="64" w:name="how-erstellung-der-kommunikationspläne"/>
    <w:p>
      <w:pPr>
        <w:pStyle w:val="Heading3"/>
      </w:pPr>
      <w:r>
        <w:rPr>
          <w:rStyle w:val="SectionNumber"/>
        </w:rPr>
        <w:t xml:space="preserve">4.3.3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Teilnehmenden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1.1.)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Endnuser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Abschnitt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4"/>
    <w:bookmarkStart w:id="65" w:name="kommunikationsformate-und-materialien"/>
    <w:p>
      <w:pPr>
        <w:pStyle w:val="Heading3"/>
      </w:pPr>
      <w:r>
        <w:rPr>
          <w:rStyle w:val="SectionNumber"/>
        </w:rPr>
        <w:t xml:space="preserve">4.3.4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Kommunikationspartner*innen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AMA Meetings (Ask-Me-Anything): in Verbindung mit obigen Formaten oder alleine kann so regelmässig ein Forum für Betroffene zum Stellen von Fragen geboten werden werden.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w:t>
      </w:r>
    </w:p>
    <w:p>
      <w:pPr>
        <w:pStyle w:val="Compact"/>
        <w:numPr>
          <w:ilvl w:val="0"/>
          <w:numId w:val="1019"/>
        </w:numPr>
      </w:pPr>
      <w:r>
        <w:t xml:space="preserve">Kommunikation durch Führungskräfte: Regelmäßige Kommunikation und offene Gespräche seitens der Führungskräfte, sei es durch persönliche Gespräche, bestehende Team-Meetings,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5"/>
    <w:bookmarkStart w:id="66" w:name="die-bedeutung-von-storytelling"/>
    <w:p>
      <w:pPr>
        <w:pStyle w:val="Heading3"/>
      </w:pPr>
      <w:r>
        <w:rPr>
          <w:rStyle w:val="SectionNumber"/>
        </w:rPr>
        <w:t xml:space="preserve">4.3.5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und welche Vorteile bringt er.</w:t>
      </w:r>
    </w:p>
    <w:p>
      <w:pPr>
        <w:pStyle w:val="Compact"/>
        <w:numPr>
          <w:ilvl w:val="0"/>
          <w:numId w:val="1022"/>
        </w:numPr>
      </w:pPr>
      <w:r>
        <w:t xml:space="preserve">Einbeziehung der Zuhörenden inkl.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Zuhörenden aufrechterhält, ist wirkungsvoller.</w:t>
      </w:r>
    </w:p>
    <w:p>
      <w:pPr>
        <w:pStyle w:val="Compact"/>
        <w:numPr>
          <w:ilvl w:val="0"/>
          <w:numId w:val="1022"/>
        </w:numPr>
      </w:pPr>
      <w:r>
        <w:t xml:space="preserve">Story Listening in einer Analyse-phase ist dabei wichtig, bestehende Geschichten und Narrative zu Nutzen oder daran anzudocken. Auf keinen Fall Change-Stories nur im stillen Kämmerlein entwickeln.</w:t>
      </w:r>
    </w:p>
    <w:p>
      <w:pPr>
        <w:pStyle w:val="FirstParagraph"/>
      </w:pPr>
      <w:r>
        <w:t xml:space="preserve">Wenn Geschichten richtig eingesetzt werden, können sie die Akzeptanz und Unterstützung für den Wandel wesentlich verbessern.</w:t>
      </w:r>
    </w:p>
    <w:bookmarkEnd w:id="66"/>
    <w:bookmarkStart w:id="69" w:name="Xa5b3f213cd79f8fd88cc62ecf163bd0971ff7f9"/>
    <w:p>
      <w:pPr>
        <w:pStyle w:val="Heading3"/>
      </w:pPr>
      <w:r>
        <w:rPr>
          <w:rStyle w:val="SectionNumber"/>
        </w:rPr>
        <w:t xml:space="preserve">4.3.6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Einbindung und Einbeziehung von Meinungen sowie Feedback: Das ist ein zentrales Element – ob in Diskussionsforen oder offenen Veranstaltungen. Informationen wie E-Mails, Sharepoint-Seiten oder Videos ersetzen keinen Dialog. Beides ist wichtig, oft werden jedoch Dialog-Formate zu wenig genutzt. Es ist jedoch wichtig, sowohl für das Verständnis aller Betroffenen sowie als Feedback für die Change &amp; Projekt Manager.</w:t>
      </w:r>
      <w:r>
        <w:br/>
      </w:r>
    </w:p>
    <w:p>
      <w:pPr>
        <w:pStyle w:val="Compact"/>
        <w:numPr>
          <w:ilvl w:val="0"/>
          <w:numId w:val="1023"/>
        </w:numPr>
      </w:pPr>
      <w:r>
        <w:t xml:space="preserve">Anpassung an Zielgruppen: Führungskräfte, Frontline-Mitarbeitende und verschiedene Abteilungen haben unterschiedliche Perspektiven und Bedürfnisse.</w:t>
      </w:r>
    </w:p>
    <w:p>
      <w:pPr>
        <w:pStyle w:val="Compact"/>
        <w:numPr>
          <w:ilvl w:val="0"/>
          <w:numId w:val="1023"/>
        </w:numPr>
      </w:pPr>
      <w:r>
        <w:t xml:space="preserve">Messbare Ziele und Fortschritt anzeigen: Visualisieren von Erfolgen und Meilensteinen, um das Engagement und die Motivation aufrechtzuerhalten.</w:t>
      </w:r>
    </w:p>
    <w:p>
      <w:pPr>
        <w:pStyle w:val="Compact"/>
        <w:numPr>
          <w:ilvl w:val="0"/>
          <w:numId w:val="1023"/>
        </w:numPr>
      </w:pPr>
      <w:r>
        <w:t xml:space="preserve">Verschiedene Perspektiven herausarbeiten (auch für Endnutzer): IT-Lösungen werden oft vom Management eingekauft. Der Mehrwert und die Änderungen für Mitarbeitende und Nutzer ist oft nicht klar - dies gilt es z.B. anhand Personas herauszuarbeiten. In sogenannten Change Impact Analysen kann dann eingeschätzt werden, wie stark die Änderungen für die jeweilige Persona oder Rolle sind. Gerade bei hohem Change Impact ist es wichtig ausreichend bzw. mehrmals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Blog-Doku einer Community Session:</w:t>
      </w:r>
      <w:r>
        <w:t xml:space="preserve"> </w:t>
      </w:r>
      <w:hyperlink r:id="rId67">
        <w:r>
          <w:rPr>
            <w:rStyle w:val="Hyperlink"/>
          </w:rPr>
          <w:t xml:space="preserve">Kommunikation in SAP Change Management Projekten</w:t>
        </w:r>
      </w:hyperlink>
    </w:p>
    <w:p>
      <w:pPr>
        <w:pStyle w:val="Compact"/>
        <w:numPr>
          <w:ilvl w:val="0"/>
          <w:numId w:val="1024"/>
        </w:numPr>
      </w:pPr>
      <w:r>
        <w:t xml:space="preserve">Narrative Organisationsentwicklung -</w:t>
      </w:r>
      <w:r>
        <w:t xml:space="preserve"> </w:t>
      </w:r>
      <w:hyperlink r:id="rId68">
        <w:r>
          <w:rPr>
            <w:rStyle w:val="Hyperlink"/>
          </w:rPr>
          <w:t xml:space="preserve">Blog zum Podcast mit Tobias Grewe</w:t>
        </w:r>
      </w:hyperlink>
    </w:p>
    <w:bookmarkEnd w:id="69"/>
    <w:bookmarkEnd w:id="70"/>
    <w:bookmarkStart w:id="82" w:name="X139b68fbd3175bd02dd41508fccc2bb4bb440d2"/>
    <w:p>
      <w:pPr>
        <w:pStyle w:val="Heading2"/>
      </w:pPr>
      <w:r>
        <w:rPr>
          <w:rStyle w:val="SectionNumber"/>
        </w:rPr>
        <w:t xml:space="preserve">4.4</w:t>
      </w:r>
      <w:r>
        <w:tab/>
      </w:r>
      <w:r>
        <w:t xml:space="preserve">Lernen &amp; Weiterbildung im Change-Management – von Lernbedarfsanalyse &amp; Lernformaten bis zum regelmäßigen Lernen</w:t>
      </w:r>
    </w:p>
    <w:bookmarkStart w:id="71" w:name="Xca745eeb440bff3822f0d4d04de52d574d1e443"/>
    <w:p>
      <w:pPr>
        <w:pStyle w:val="Heading3"/>
      </w:pPr>
      <w:r>
        <w:rPr>
          <w:rStyle w:val="SectionNumber"/>
        </w:rPr>
        <w:t xml:space="preserve">4.4.1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User bedienen die Systeme oder Software, Manager und andere Stakeholdergruppen benötigen eher Überblickswissen bzgl. der Ziele, Vorteile oder des Impacts.</w:t>
      </w:r>
    </w:p>
    <w:p>
      <w:pPr>
        <w:pStyle w:val="BodyText"/>
      </w:pPr>
      <w:r>
        <w:t xml:space="preserve">Im Sinne der erfolgreichen Kompetenzentwicklung gilt es, allen vom Wandel Betroffenen Lernressourcen und Lern-Räume zur Verfügung zu stellen – also nicht nur von Training zu sprechen im Sinne des Trainer-Schüler Narrativs.</w:t>
      </w:r>
    </w:p>
    <w:bookmarkEnd w:id="71"/>
    <w:bookmarkStart w:id="73" w:name="durchführung-von-trainingsprojekten"/>
    <w:p>
      <w:pPr>
        <w:pStyle w:val="Heading3"/>
      </w:pPr>
      <w:r>
        <w:rPr>
          <w:rStyle w:val="SectionNumber"/>
        </w:rPr>
        <w:t xml:space="preserve">4.4.2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Teilnehmenden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72">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 – das ist meist zu viel und komplex.</w:t>
      </w:r>
      <w:r>
        <w:br/>
      </w:r>
    </w:p>
    <w:p>
      <w:pPr>
        <w:pStyle w:val="Compact"/>
        <w:numPr>
          <w:ilvl w:val="0"/>
          <w:numId w:val="1025"/>
        </w:numPr>
      </w:pPr>
      <w:r>
        <w:t xml:space="preserve">Ob bei Design oder Evaluation: achtet auf den Transfer in den Arbeitsalltag.</w:t>
      </w:r>
    </w:p>
    <w:bookmarkEnd w:id="73"/>
    <w:bookmarkStart w:id="74" w:name="X271a53b36910382532ca9e1910ab5245ebe30b8"/>
    <w:p>
      <w:pPr>
        <w:pStyle w:val="Heading3"/>
      </w:pPr>
      <w:r>
        <w:rPr>
          <w:rStyle w:val="SectionNumber"/>
        </w:rPr>
        <w:t xml:space="preserve">4.4.3</w:t>
      </w:r>
      <w:r>
        <w:tab/>
      </w:r>
      <w:r>
        <w:t xml:space="preserve">Formate &amp; Konzept incl. Train the Trainer Ansatz (TTT)</w:t>
      </w:r>
    </w:p>
    <w:p>
      <w:pPr>
        <w:pStyle w:val="FirstParagraph"/>
      </w:pPr>
      <w:r>
        <w:t xml:space="preserve">Klassische Formate sind sicher Workshops &amp; Trainings in Präsenz oder virtuell. Inzwischen hat sich ein Methoden Mix etabliert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4"/>
    <w:bookmarkStart w:id="81" w:name="zwei-modelle-zur-methodenauswahl"/>
    <w:p>
      <w:pPr>
        <w:pStyle w:val="Heading3"/>
      </w:pPr>
      <w:r>
        <w:rPr>
          <w:rStyle w:val="SectionNumber"/>
        </w:rPr>
        <w:t xml:space="preserve">4.4.4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5">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76">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77">
        <w:r>
          <w:rPr>
            <w:rStyle w:val="Hyperlink"/>
          </w:rPr>
          <w:t xml:space="preserve">DigiComp  </w:t>
        </w:r>
      </w:hyperlink>
      <w:r>
        <w:t xml:space="preserve">sowie die europäische Skill &amp; Job Datenbank</w:t>
      </w:r>
      <w:r>
        <w:t xml:space="preserve"> </w:t>
      </w:r>
      <w:hyperlink r:id="rId78">
        <w:r>
          <w:rPr>
            <w:rStyle w:val="Hyperlink"/>
          </w:rPr>
          <w:t xml:space="preserve">ESCO</w:t>
        </w:r>
      </w:hyperlink>
      <w:r>
        <w:t xml:space="preserve"> </w:t>
      </w:r>
      <w:r>
        <w:t xml:space="preserve">als Anker interessant.</w:t>
      </w:r>
    </w:p>
    <w:p>
      <w:pPr>
        <w:pStyle w:val="Compact"/>
        <w:numPr>
          <w:ilvl w:val="0"/>
          <w:numId w:val="1028"/>
        </w:numPr>
      </w:pPr>
      <w:hyperlink r:id="rId79">
        <w:r>
          <w:rPr>
            <w:rStyle w:val="Hyperlink"/>
          </w:rPr>
          <w:t xml:space="preserve">Learning Design Canvas vom internen SAP Learning Team</w:t>
        </w:r>
      </w:hyperlink>
    </w:p>
    <w:p>
      <w:pPr>
        <w:pStyle w:val="Compact"/>
        <w:numPr>
          <w:ilvl w:val="0"/>
          <w:numId w:val="1028"/>
        </w:numPr>
      </w:pPr>
      <w:hyperlink r:id="rId80">
        <w:r>
          <w:rPr>
            <w:rStyle w:val="Hyperlink"/>
          </w:rPr>
          <w:t xml:space="preserve">Generative Künstliche Intelligenz im Corporate Learning: Use Cases, Beispiele und Tips - Artikel von T. Jenewein</w:t>
        </w:r>
      </w:hyperlink>
      <w:r>
        <w:t xml:space="preserve">/&gt;</w:t>
      </w:r>
    </w:p>
    <w:bookmarkEnd w:id="81"/>
    <w:bookmarkEnd w:id="82"/>
    <w:bookmarkStart w:id="98" w:name="communities-im-change-management"/>
    <w:p>
      <w:pPr>
        <w:pStyle w:val="Heading2"/>
      </w:pPr>
      <w:r>
        <w:rPr>
          <w:rStyle w:val="SectionNumber"/>
        </w:rPr>
        <w:t xml:space="preserve">4.5</w:t>
      </w:r>
      <w:r>
        <w:tab/>
      </w:r>
      <w:r>
        <w:t xml:space="preserve">Communities im Change-Management</w:t>
      </w:r>
    </w:p>
    <w:bookmarkStart w:id="83" w:name="was-sind-change-communities"/>
    <w:p>
      <w:pPr>
        <w:pStyle w:val="Heading3"/>
      </w:pPr>
      <w:r>
        <w:rPr>
          <w:rStyle w:val="SectionNumber"/>
        </w:rPr>
        <w:t xml:space="preserve">4.5.1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 lernen voneinander, experimentieren mit Anwendungsfällen zur Nutzung der neuen Technologien / Systeme und generieren eigene Ideen zur Weiterentwicklung dieser Themen.</w:t>
      </w:r>
    </w:p>
    <w:bookmarkEnd w:id="83"/>
    <w:bookmarkStart w:id="84" w:name="Xc75c57b5034b63169fbb0b3f72aca4dc9b0c0b8"/>
    <w:p>
      <w:pPr>
        <w:pStyle w:val="Heading3"/>
      </w:pPr>
      <w:r>
        <w:rPr>
          <w:rStyle w:val="SectionNumber"/>
        </w:rPr>
        <w:t xml:space="preserve">4.5.2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 sind oft intrinsisch motivierte Individuen, die als Change Agents fungieren und als Ansprechpartner und Mentor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 in der Lage sind, effektiv auf Veränderungen zu reagieren.</w:t>
      </w:r>
    </w:p>
    <w:bookmarkEnd w:id="84"/>
    <w:bookmarkStart w:id="85" w:name="formate-von-change-communities"/>
    <w:p>
      <w:pPr>
        <w:pStyle w:val="Heading3"/>
      </w:pPr>
      <w:r>
        <w:rPr>
          <w:rStyle w:val="SectionNumber"/>
        </w:rPr>
        <w:t xml:space="preserve">4.5.3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digitaler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85"/>
    <w:bookmarkStart w:id="86" w:name="wie-change-communities-funktionieren"/>
    <w:p>
      <w:pPr>
        <w:pStyle w:val="Heading3"/>
      </w:pPr>
      <w:r>
        <w:rPr>
          <w:rStyle w:val="SectionNumber"/>
        </w:rPr>
        <w:t xml:space="preserve">4.5.4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 oder Moderator, helfen, das Engagement zu fördern.</w:t>
      </w:r>
    </w:p>
    <w:p>
      <w:pPr>
        <w:pStyle w:val="Compact"/>
        <w:numPr>
          <w:ilvl w:val="0"/>
          <w:numId w:val="1031"/>
        </w:numPr>
      </w:pPr>
      <w:r>
        <w:t xml:space="preserve">Wissensmanagement und Dokumentation: Effektive Communities dokumentieren relevante Informationen und machen sie für die Mitglieder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 und den Mehrwert der Community.</w:t>
      </w:r>
    </w:p>
    <w:bookmarkEnd w:id="86"/>
    <w:bookmarkStart w:id="97" w:name="X38db7a6942e2a365140a5e9b6146456251bb94a"/>
    <w:p>
      <w:pPr>
        <w:pStyle w:val="Heading3"/>
      </w:pPr>
      <w:r>
        <w:rPr>
          <w:rStyle w:val="SectionNumber"/>
        </w:rPr>
        <w:t xml:space="preserve">4.5.5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87">
        <w:r>
          <w:rPr>
            <w:rStyle w:val="Hyperlink"/>
          </w:rPr>
          <w:t xml:space="preserve">Community Gruppe auf LinkedIn von SAP zu Change Management</w:t>
        </w:r>
      </w:hyperlink>
      <w:hyperlink r:id="rId88"/>
      <w:hyperlink r:id="rId88">
        <w:r>
          <w:rPr>
            <w:rStyle w:val="Hyperlink"/>
          </w:rPr>
          <w:t xml:space="preserve">–</w:t>
        </w:r>
      </w:hyperlink>
      <w:r>
        <w:t xml:space="preserve"> </w:t>
      </w:r>
      <w:r>
        <w:t xml:space="preserve">kommt dazu bei Interesse!</w:t>
      </w:r>
    </w:p>
    <w:p>
      <w:pPr>
        <w:pStyle w:val="Compact"/>
        <w:numPr>
          <w:ilvl w:val="0"/>
          <w:numId w:val="1033"/>
        </w:numPr>
      </w:pPr>
      <w:hyperlink r:id="rId88">
        <w:r>
          <w:rPr>
            <w:rStyle w:val="Hyperlink"/>
          </w:rPr>
          <w:t xml:space="preserve">Kaffee</w:t>
        </w:r>
      </w:hyperlink>
      <w:hyperlink r:id="rId88">
        <w:r>
          <w:rPr>
            <w:rStyle w:val="Hyperlink"/>
          </w:rPr>
          <w:t xml:space="preserve">-</w:t>
        </w:r>
      </w:hyperlink>
      <w:hyperlink r:id="rId88">
        <w:r>
          <w:rPr>
            <w:rStyle w:val="Hyperlink"/>
          </w:rPr>
          <w:t xml:space="preserve">Ecke (AMA) zu Change Themen</w:t>
        </w:r>
      </w:hyperlink>
      <w:hyperlink r:id="rId88"/>
      <w:r>
        <w:br/>
      </w:r>
    </w:p>
    <w:p>
      <w:pPr>
        <w:pStyle w:val="Compact"/>
        <w:numPr>
          <w:ilvl w:val="0"/>
          <w:numId w:val="1033"/>
        </w:numPr>
      </w:pPr>
      <w:hyperlink r:id="rId89">
        <w:r>
          <w:rPr>
            <w:rStyle w:val="Hyperlink"/>
          </w:rPr>
          <w:t xml:space="preserve">Blog zu Engagement in Communities</w:t>
        </w:r>
      </w:hyperlink>
      <w:hyperlink r:id="rId89"/>
    </w:p>
    <w:p>
      <w:pPr>
        <w:pStyle w:val="Compact"/>
        <w:numPr>
          <w:ilvl w:val="0"/>
          <w:numId w:val="1033"/>
        </w:numPr>
      </w:pPr>
      <w:hyperlink r:id="rId90">
        <w:r>
          <w:rPr>
            <w:rStyle w:val="Hyperlink"/>
          </w:rPr>
          <w:t xml:space="preserve">lernOS Leitfaden für Community Management</w:t>
        </w:r>
      </w:hyperlink>
    </w:p>
    <w:p>
      <w:pPr>
        <w:pStyle w:val="Compact"/>
        <w:numPr>
          <w:ilvl w:val="0"/>
          <w:numId w:val="1033"/>
        </w:numPr>
      </w:pPr>
      <w:hyperlink r:id="rId91">
        <w:r>
          <w:rPr>
            <w:rStyle w:val="Hyperlink"/>
          </w:rPr>
          <w:t xml:space="preserve">Website zu Communities</w:t>
        </w:r>
      </w:hyperlink>
      <w:r>
        <w:t xml:space="preserve"> </w:t>
      </w:r>
      <w:r>
        <w:t xml:space="preserve">(Tanja Laub)</w:t>
      </w:r>
    </w:p>
    <w:p>
      <w:pPr>
        <w:pStyle w:val="Compact"/>
        <w:numPr>
          <w:ilvl w:val="0"/>
          <w:numId w:val="1033"/>
        </w:numPr>
      </w:pPr>
      <w:hyperlink r:id="rId92">
        <w:r>
          <w:rPr>
            <w:rStyle w:val="Hyperlink"/>
          </w:rPr>
          <w:t xml:space="preserve">Community Management Studien, Trends und Konferenzen</w:t>
        </w:r>
      </w:hyperlink>
    </w:p>
    <w:p>
      <w:pPr>
        <w:pStyle w:val="Compact"/>
        <w:numPr>
          <w:ilvl w:val="0"/>
          <w:numId w:val="1033"/>
        </w:numPr>
      </w:pPr>
      <w:hyperlink r:id="rId93">
        <w:r>
          <w:rPr>
            <w:rStyle w:val="Hyperlink"/>
          </w:rPr>
          <w:t xml:space="preserve">The Community Roundtable</w:t>
        </w:r>
      </w:hyperlink>
    </w:p>
    <w:p>
      <w:pPr>
        <w:pStyle w:val="Compact"/>
        <w:numPr>
          <w:ilvl w:val="0"/>
          <w:numId w:val="1033"/>
        </w:numPr>
      </w:pPr>
      <w:hyperlink r:id="rId94">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95">
        <w:r>
          <w:rPr>
            <w:rStyle w:val="Hyperlink"/>
          </w:rPr>
          <w:t xml:space="preserve">Social Media Adoption</w:t>
        </w:r>
      </w:hyperlink>
      <w:hyperlink r:id="rId95">
        <w:r>
          <w:rPr>
            <w:rStyle w:val="Hyperlink"/>
          </w:rPr>
          <w:t xml:space="preserve">-</w:t>
        </w:r>
      </w:hyperlink>
      <w:r>
        <w:t xml:space="preserve"> </w:t>
      </w:r>
      <w:hyperlink r:id="rId95">
        <w:r>
          <w:rPr>
            <w:rStyle w:val="Hyperlink"/>
          </w:rPr>
          <w:t xml:space="preserve">the GUIDE concept » Harald</w:t>
        </w:r>
      </w:hyperlink>
      <w:hyperlink r:id="rId95">
        <w:r>
          <w:rPr>
            <w:rStyle w:val="Hyperlink"/>
          </w:rPr>
          <w:t xml:space="preserve">-</w:t>
        </w:r>
      </w:hyperlink>
      <w:hyperlink r:id="rId95">
        <w:r>
          <w:rPr>
            <w:rStyle w:val="Hyperlink"/>
          </w:rPr>
          <w:t xml:space="preserve">Schirmer.de</w:t>
        </w:r>
      </w:hyperlink>
    </w:p>
    <w:p>
      <w:pPr>
        <w:pStyle w:val="Compact"/>
        <w:numPr>
          <w:ilvl w:val="0"/>
          <w:numId w:val="1034"/>
        </w:numPr>
      </w:pPr>
      <w:hyperlink r:id="rId96">
        <w:r>
          <w:rPr>
            <w:rStyle w:val="Hyperlink"/>
          </w:rPr>
          <w:t xml:space="preserve">Lessons learned from Social Media Implementation » Harald</w:t>
        </w:r>
      </w:hyperlink>
      <w:hyperlink r:id="rId96">
        <w:r>
          <w:rPr>
            <w:rStyle w:val="Hyperlink"/>
          </w:rPr>
          <w:t xml:space="preserve">-</w:t>
        </w:r>
      </w:hyperlink>
      <w:hyperlink r:id="rId96">
        <w:r>
          <w:rPr>
            <w:rStyle w:val="Hyperlink"/>
          </w:rPr>
          <w:t xml:space="preserve">Schirmer.de</w:t>
        </w:r>
      </w:hyperlink>
    </w:p>
    <w:bookmarkEnd w:id="97"/>
    <w:bookmarkEnd w:id="98"/>
    <w:bookmarkStart w:id="104" w:name="Xda41a9ba6baa7f092399aafa7d5589986065c58"/>
    <w:p>
      <w:pPr>
        <w:pStyle w:val="Heading2"/>
      </w:pPr>
      <w:r>
        <w:rPr>
          <w:rStyle w:val="SectionNumber"/>
        </w:rPr>
        <w:t xml:space="preserve">4.6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99" w:name="change-readiness-analyse"/>
    <w:p>
      <w:pPr>
        <w:pStyle w:val="Heading3"/>
      </w:pPr>
      <w:r>
        <w:rPr>
          <w:rStyle w:val="SectionNumber"/>
        </w:rPr>
        <w:t xml:space="preserve">4.6.1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Mitarbeitenden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Mitarbeitenden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Mitarbeitenden bereit, aktiv an der Umsetzung mitzuwirken und fühlen sich in ihren Bemühungen anerkannt?</w:t>
      </w:r>
    </w:p>
    <w:p>
      <w:pPr>
        <w:pStyle w:val="Compact"/>
        <w:numPr>
          <w:ilvl w:val="1"/>
          <w:numId w:val="1037"/>
        </w:numPr>
      </w:pPr>
      <w:r>
        <w:rPr>
          <w:b/>
          <w:bCs/>
        </w:rPr>
        <w:t xml:space="preserve">Empowerment</w:t>
      </w:r>
      <w:r>
        <w:t xml:space="preserve">: Haben die Mitarbeitenden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99"/>
    <w:bookmarkStart w:id="100" w:name="change-impact-analysen-cia"/>
    <w:p>
      <w:pPr>
        <w:pStyle w:val="Heading3"/>
      </w:pPr>
      <w:r>
        <w:rPr>
          <w:rStyle w:val="SectionNumber"/>
        </w:rPr>
        <w:t xml:space="preserve">4.6.2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 Toolseitig kann dies effektiv durch Prozess-Management Software wie SAP Signavio unterstützt werden.</w:t>
      </w:r>
    </w:p>
    <w:bookmarkEnd w:id="100"/>
    <w:bookmarkStart w:id="103" w:name="X83385306ea38ef88da8e284237d6144ba6b69e9"/>
    <w:p>
      <w:pPr>
        <w:pStyle w:val="Heading3"/>
      </w:pPr>
      <w:r>
        <w:rPr>
          <w:rStyle w:val="SectionNumber"/>
        </w:rPr>
        <w:t xml:space="preserve">4.6.3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Enduser*innen Trainings. Dies können Key-User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01">
        <w:r>
          <w:rPr>
            <w:rStyle w:val="Hyperlink"/>
          </w:rPr>
          <w:t xml:space="preserve">Change Readiness</w:t>
        </w:r>
      </w:hyperlink>
    </w:p>
    <w:p>
      <w:pPr>
        <w:pStyle w:val="Compact"/>
        <w:numPr>
          <w:ilvl w:val="0"/>
          <w:numId w:val="1040"/>
        </w:numPr>
      </w:pPr>
      <w:hyperlink r:id="rId102">
        <w:r>
          <w:rPr>
            <w:rStyle w:val="Hyperlink"/>
          </w:rPr>
          <w:t xml:space="preserve">Change Readiness Analysen in Wissenschaft und SAP-Praxis</w:t>
        </w:r>
      </w:hyperlink>
    </w:p>
    <w:bookmarkEnd w:id="103"/>
    <w:bookmarkEnd w:id="104"/>
    <w:bookmarkStart w:id="105" w:name="Xf8a457bce55605a9c6c320d185e0879926207e0"/>
    <w:p>
      <w:pPr>
        <w:pStyle w:val="Heading2"/>
      </w:pPr>
      <w:r>
        <w:rPr>
          <w:rStyle w:val="SectionNumber"/>
        </w:rPr>
        <w:t xml:space="preserve">4.7</w:t>
      </w:r>
      <w:r>
        <w:tab/>
      </w:r>
      <w:r>
        <w:t xml:space="preserve">Die Rolle organisatorischer Veränderungen in IT-Projekten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Mitarbeitenden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Befähigerin des Business</w:t>
      </w:r>
    </w:p>
    <w:p>
      <w:pPr>
        <w:pStyle w:val="Compact"/>
        <w:numPr>
          <w:ilvl w:val="0"/>
          <w:numId w:val="1041"/>
        </w:numPr>
      </w:pPr>
      <w:r>
        <w:t xml:space="preserve">IT als Treiberin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5"/>
    <w:bookmarkStart w:id="109" w:name="X4211a090744b85acb55554909650796de869e6e"/>
    <w:p>
      <w:pPr>
        <w:pStyle w:val="Heading2"/>
      </w:pPr>
      <w:r>
        <w:rPr>
          <w:rStyle w:val="SectionNumber"/>
        </w:rPr>
        <w:t xml:space="preserve">4.8</w:t>
      </w:r>
      <w:r>
        <w:tab/>
      </w:r>
      <w:r>
        <w:t xml:space="preserve">Organisationskultur und Change-Management</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Entwickelt eine überzeugende</w:t>
      </w:r>
      <w:r>
        <w:t xml:space="preserve"> </w:t>
      </w:r>
      <w:r>
        <w:t xml:space="preserve">“Story”</w:t>
      </w:r>
      <w:r>
        <w:t xml:space="preserve"> </w:t>
      </w:r>
      <w:r>
        <w:t xml:space="preserve">für den Wandel, die alle kulturellen Ebenen adressiert (siehe auch 1.4. Kommunikation, Storytelling).</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Investiert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Schult die Führungskräfte in ihrer Rolle als Kulturgestalter und schafft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Nutzt Scheins Methode der</w:t>
      </w:r>
      <w:r>
        <w:t xml:space="preserve"> </w:t>
      </w:r>
      <w:r>
        <w:t xml:space="preserve">“klinischen Untersuchung”</w:t>
      </w:r>
      <w:r>
        <w:t xml:space="preserve">, um tiefliegende kulturelle Annahmen zu verstehen und zu beeinflussen.</w:t>
      </w:r>
    </w:p>
    <w:p>
      <w:pPr>
        <w:pStyle w:val="BodyText"/>
      </w:pPr>
      <w:r>
        <w:t xml:space="preserve">Tipp: Etabliert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06">
        <w:r>
          <w:rPr>
            <w:rStyle w:val="Hyperlink"/>
          </w:rPr>
          <w:t xml:space="preserve">Veränderung von Organisationen</w:t>
        </w:r>
      </w:hyperlink>
      <w:r>
        <w:t xml:space="preserve"> </w:t>
      </w:r>
      <w:r>
        <w:t xml:space="preserve">sowie</w:t>
      </w:r>
      <w:r>
        <w:t xml:space="preserve"> </w:t>
      </w:r>
      <w:hyperlink r:id="rId107">
        <w:r>
          <w:rPr>
            <w:rStyle w:val="Hyperlink"/>
          </w:rPr>
          <w:t xml:space="preserve">Eine Lernende Organisation kultivieren</w:t>
        </w:r>
      </w:hyperlink>
    </w:p>
    <w:p>
      <w:pPr>
        <w:pStyle w:val="Compact"/>
        <w:numPr>
          <w:ilvl w:val="0"/>
          <w:numId w:val="1042"/>
        </w:numPr>
      </w:pPr>
      <w:hyperlink r:id="rId108">
        <w:r>
          <w:rPr>
            <w:rStyle w:val="Hyperlink"/>
          </w:rPr>
          <w:t xml:space="preserve">Quelle: e-Book Restrukturierung</w:t>
        </w:r>
      </w:hyperlink>
    </w:p>
    <w:bookmarkEnd w:id="109"/>
    <w:bookmarkEnd w:id="110"/>
    <w:bookmarkStart w:id="126" w:name="lernpfad"/>
    <w:p>
      <w:pPr>
        <w:pStyle w:val="Heading1"/>
      </w:pPr>
      <w:r>
        <w:rPr>
          <w:rStyle w:val="SectionNumber"/>
        </w:rPr>
        <w:t xml:space="preserve">5</w:t>
      </w:r>
      <w:r>
        <w:tab/>
      </w:r>
      <w:r>
        <w:t xml:space="preserve">Lernpfad</w:t>
      </w:r>
    </w:p>
    <w:bookmarkStart w:id="114" w:name="Xcab08b5827ead6aa035cdbdaba692e4632a9213"/>
    <w:p>
      <w:pPr>
        <w:pStyle w:val="Heading2"/>
      </w:pPr>
      <w:r>
        <w:rPr>
          <w:rStyle w:val="SectionNumber"/>
        </w:rPr>
        <w:t xml:space="preserve">5.1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11">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12">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 im Blog zu</w:t>
      </w:r>
      <w:r>
        <w:t xml:space="preserve"> </w:t>
      </w:r>
      <w:hyperlink r:id="rId113">
        <w:r>
          <w:rPr>
            <w:rStyle w:val="Hyperlink"/>
          </w:rPr>
          <w:t xml:space="preserve">Lerngruppen und Lernzirkel</w:t>
        </w:r>
      </w:hyperlink>
      <w:r>
        <w:t xml:space="preserve">.</w:t>
      </w:r>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4"/>
    <w:bookmarkStart w:id="115" w:name="X4463ac94950ef14e68fe96dbf96f8d6e70e20d4"/>
    <w:p>
      <w:pPr>
        <w:pStyle w:val="Heading2"/>
      </w:pPr>
      <w:r>
        <w:rPr>
          <w:rStyle w:val="SectionNumber"/>
        </w:rPr>
        <w:t xml:space="preserve">5.2</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im Bereich Grundlagen durch.</w:t>
      </w:r>
    </w:p>
    <w:p>
      <w:pPr>
        <w:pStyle w:val="BodyText"/>
      </w:pPr>
      <w:r>
        <w:t xml:space="preserve">Aufgabe: Schreibe einen kurzen Beitrag, warum Change-Management für Deine Organisation/ für Deinen Kontext wichtig ist.</w:t>
      </w:r>
    </w:p>
    <w:p>
      <w:pPr>
        <w:pStyle w:val="BodyText"/>
      </w:pPr>
      <w:r>
        <w:t xml:space="preserve">Aufgabe zu Modellen: Welche der Modelle nutzt Du / Ihr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w:t>
      </w:r>
    </w:p>
    <w:bookmarkEnd w:id="115"/>
    <w:bookmarkStart w:id="116" w:name="Xfe61c41f5c22fc0b9e5cd21e16b3d3febf4fcf3"/>
    <w:p>
      <w:pPr>
        <w:pStyle w:val="Heading2"/>
      </w:pPr>
      <w:r>
        <w:rPr>
          <w:rStyle w:val="SectionNumber"/>
        </w:rPr>
        <w:t xml:space="preserve">5.3</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3"/>
        </w:numPr>
      </w:pPr>
      <w:r>
        <w:t xml:space="preserve">Welche Rollen wie Change Manager, Change Agent, Führungskraft, Change-Projektmitglied hast Du bereits in Change-Prozessen übernommen, oder welche Rollen führst Du aktuell aus?</w:t>
      </w:r>
    </w:p>
    <w:p>
      <w:pPr>
        <w:pStyle w:val="Compact"/>
        <w:numPr>
          <w:ilvl w:val="0"/>
          <w:numId w:val="1043"/>
        </w:numPr>
      </w:pPr>
      <w:r>
        <w:t xml:space="preserve">Wie hast Du Deine Rolle im Change-Prozess wahrgenommen und welche Herausforderungen hast Du dabei erlebt?</w:t>
      </w:r>
    </w:p>
    <w:p>
      <w:pPr>
        <w:pStyle w:val="Compact"/>
        <w:numPr>
          <w:ilvl w:val="0"/>
          <w:numId w:val="1043"/>
        </w:numPr>
      </w:pPr>
      <w:r>
        <w:t xml:space="preserve">Welche Kenntnisse und Erfahrungen haben Dir bei Übernahme neuer Rollen und Aufgaben geholfen?</w:t>
      </w:r>
    </w:p>
    <w:p>
      <w:pPr>
        <w:pStyle w:val="Compact"/>
        <w:numPr>
          <w:ilvl w:val="0"/>
          <w:numId w:val="1043"/>
        </w:numPr>
      </w:pPr>
      <w:r>
        <w:t xml:space="preserve">Reflektiere Deine Rolle und Deine Beobachtungen in Bezug auf die vier Dimensionen</w:t>
      </w:r>
      <w:r>
        <w:t xml:space="preserve"> </w:t>
      </w:r>
      <w:r>
        <w:t xml:space="preserve">“wollen / können / dürfen / müssen”</w:t>
      </w:r>
    </w:p>
    <w:p>
      <w:pPr>
        <w:pStyle w:val="Compact"/>
        <w:numPr>
          <w:ilvl w:val="1"/>
          <w:numId w:val="1044"/>
        </w:numPr>
      </w:pPr>
      <w:r>
        <w:t xml:space="preserve">Inwieweit waren die Dimensionen erfüllt oder auch nicht? Welche Konsequenzen haben sich daraus ergeben?</w:t>
      </w:r>
    </w:p>
    <w:p>
      <w:pPr>
        <w:pStyle w:val="Compact"/>
        <w:numPr>
          <w:ilvl w:val="1"/>
          <w:numId w:val="1044"/>
        </w:numPr>
      </w:pPr>
      <w:r>
        <w:t xml:space="preserve">Was hat sich bewährt - und was nicht?</w:t>
      </w:r>
    </w:p>
    <w:p>
      <w:pPr>
        <w:pStyle w:val="Compact"/>
        <w:numPr>
          <w:ilvl w:val="1"/>
          <w:numId w:val="1044"/>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gerne übernehmen würdest und warum. Überlege dabei eine Rolle, die den Change aktiv gestaltet, nicht nur passiv betroffen ist.</w:t>
      </w:r>
    </w:p>
    <w:bookmarkEnd w:id="116"/>
    <w:bookmarkStart w:id="117" w:name="kata-3-stakeholder-management"/>
    <w:p>
      <w:pPr>
        <w:pStyle w:val="Heading2"/>
      </w:pPr>
      <w:r>
        <w:rPr>
          <w:rStyle w:val="SectionNumber"/>
        </w:rPr>
        <w:t xml:space="preserve">5.4</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w:t>
      </w:r>
      <w:r>
        <w:t xml:space="preserve"> </w:t>
      </w:r>
      <w:r>
        <w:t xml:space="preserve">“Stakeholder Management im Change-Management”</w:t>
      </w:r>
      <w:r>
        <w:t xml:space="preserve">.</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 Was waren Lernerfahrungen dabei?</w:t>
      </w:r>
    </w:p>
    <w:bookmarkEnd w:id="117"/>
    <w:bookmarkStart w:id="118" w:name="Xd0e77d86d8f0f992b2a7315e95aaa1bb0b56191"/>
    <w:p>
      <w:pPr>
        <w:pStyle w:val="Heading2"/>
      </w:pPr>
      <w:r>
        <w:rPr>
          <w:rStyle w:val="SectionNumber"/>
        </w:rPr>
        <w:t xml:space="preserve">5.5</w:t>
      </w:r>
      <w:r>
        <w:tab/>
      </w:r>
      <w:r>
        <w:t xml:space="preserve">Kata 4: Management &amp; Widerstände im Change Management</w:t>
      </w:r>
    </w:p>
    <w:p>
      <w:pPr>
        <w:pStyle w:val="FirstParagraph"/>
      </w:pPr>
      <w:r>
        <w:t xml:space="preserve">Im Kapitel Stakeholder Management schauen wir speziell auf die Führungskräfte als Stakeholder sowie den Umgang mit Widerstand. Auch schon in weiteren Kapiteln wie zu den Rollen im Change Management haben wir die Rolle der Führungskräfte beschrieben.</w:t>
      </w:r>
    </w:p>
    <w:p>
      <w:pPr>
        <w:pStyle w:val="BodyText"/>
      </w:pPr>
      <w:r>
        <w:t xml:space="preserve">Aufgabe 1: Reflektiere, wie Du Stakeholder im Management in konkreten Projekten noch besser einbinden, moderieren und managen kannst. Was fällt Dir leicht, wo kannst Du Dich noch verbessern?</w:t>
      </w:r>
    </w:p>
    <w:p>
      <w:pPr>
        <w:pStyle w:val="BodyText"/>
      </w:pPr>
      <w:r>
        <w:t xml:space="preserve">Aufgabe 2: Reflektiere das Thema Widerstände in einem konkreten Fall einer Veränderung:</w:t>
      </w:r>
      <w:r>
        <w:t xml:space="preserve"> </w:t>
      </w:r>
      <w:r>
        <w:t xml:space="preserve">- Woher können sie kommen - was können Ursachen sein?</w:t>
      </w:r>
      <w:r>
        <w:t xml:space="preserve"> </w:t>
      </w:r>
      <w:r>
        <w:t xml:space="preserve">- Woran erkennst Du sie?</w:t>
      </w:r>
      <w:r>
        <w:t xml:space="preserve"> </w:t>
      </w:r>
      <w:r>
        <w:t xml:space="preserve">- Was kann ihre Funktion sein? Wie kannst Du damit umgehen?</w:t>
      </w:r>
    </w:p>
    <w:p>
      <w:pPr>
        <w:pStyle w:val="BodyText"/>
      </w:pPr>
      <w:r>
        <w:t xml:space="preserve">Tausche dich im Circle zu den zwei Aufgaben aus.</w:t>
      </w:r>
    </w:p>
    <w:bookmarkEnd w:id="118"/>
    <w:bookmarkStart w:id="119" w:name="kata-5-reflexion-der-lernergebnisse"/>
    <w:p>
      <w:pPr>
        <w:pStyle w:val="Heading2"/>
      </w:pPr>
      <w:r>
        <w:rPr>
          <w:rStyle w:val="SectionNumber"/>
        </w:rPr>
        <w:t xml:space="preserve">5.6</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45"/>
        </w:numPr>
      </w:pPr>
      <w:r>
        <w:t xml:space="preserve">Welche konkreten Lernerfahrungen hast du bisher gemacht?</w:t>
      </w:r>
    </w:p>
    <w:p>
      <w:pPr>
        <w:pStyle w:val="Compact"/>
        <w:numPr>
          <w:ilvl w:val="0"/>
          <w:numId w:val="1045"/>
        </w:numPr>
      </w:pPr>
      <w:r>
        <w:t xml:space="preserve">Welche Praktiken, Methoden, Tools oder Themen im Rahmen von Change-Management findest Du besonders hilfreich?</w:t>
      </w:r>
    </w:p>
    <w:p>
      <w:pPr>
        <w:pStyle w:val="Compact"/>
        <w:numPr>
          <w:ilvl w:val="0"/>
          <w:numId w:val="1045"/>
        </w:numPr>
      </w:pPr>
      <w:r>
        <w:t xml:space="preserve">Was nimmst Du davon mit und was machst Du in zukünftigen Projekten anders aufgrund der Lernerfahrungen?</w:t>
      </w:r>
    </w:p>
    <w:p>
      <w:pPr>
        <w:pStyle w:val="FirstParagraph"/>
      </w:pPr>
      <w:r>
        <w:t xml:space="preserve">Aufgabe: Tausche dich mit deinen Circle-Mitgliedern über deine Erkenntnisse und Lernerfahrungen aus (Timebox 4-5 Minuten/Circle-Mitglied).</w:t>
      </w:r>
    </w:p>
    <w:bookmarkEnd w:id="119"/>
    <w:bookmarkStart w:id="120" w:name="X5ee3fc46aa258675e13f801e73d631efa69e761"/>
    <w:p>
      <w:pPr>
        <w:pStyle w:val="Heading2"/>
      </w:pPr>
      <w:r>
        <w:rPr>
          <w:rStyle w:val="SectionNumber"/>
        </w:rPr>
        <w:t xml:space="preserve">5.7</w:t>
      </w:r>
      <w:r>
        <w:tab/>
      </w:r>
      <w:r>
        <w:t xml:space="preserve">Kata 6: Kommunikation im Change Management</w:t>
      </w:r>
    </w:p>
    <w:p>
      <w:pPr>
        <w:pStyle w:val="FirstParagraph"/>
      </w:pPr>
      <w:r>
        <w:t xml:space="preserve">In dieser Kata geht es darum, zu verstehen welche Rolle die Kommunikation in Change-Projekten spielt. Lest dazu bitte die theoretischen Inhalte in Kapitel 3.4 und reflektiert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gut gelaufen ist und wie Kommunikation besser hätte sein können. z.B. Wo hätte mehr Dialog Sinn gemacht, wo anderes Timing oder andere Formate?</w:t>
      </w:r>
    </w:p>
    <w:bookmarkEnd w:id="120"/>
    <w:bookmarkStart w:id="121" w:name="kata-7-training-wissenstransfer-lernen"/>
    <w:p>
      <w:pPr>
        <w:pStyle w:val="Heading2"/>
      </w:pPr>
      <w:r>
        <w:rPr>
          <w:rStyle w:val="SectionNumber"/>
        </w:rPr>
        <w:t xml:space="preserve">5.8</w:t>
      </w:r>
      <w:r>
        <w:tab/>
      </w:r>
      <w:r>
        <w:t xml:space="preserve">Kata 7: Training, Wissenstransfer &amp; Lernen</w:t>
      </w:r>
    </w:p>
    <w:p>
      <w:pPr>
        <w:pStyle w:val="FirstParagraph"/>
      </w:pPr>
      <w:r>
        <w:t xml:space="preserve">In dieser Kata lernst du die Bedeutung von Lernen und Training im Change-Management und wie die Durchführung von Trainingsprojekten geplant werden kann.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Aufgabe: Erstelle einen Plan / Template einer Lernstrategie für ein konkretes oder fiktives Change-Management Projekt. Wie geht Ihr vor in den Bereichen:</w:t>
      </w:r>
      <w:r>
        <w:t xml:space="preserve"> </w:t>
      </w:r>
      <w:r>
        <w:t xml:space="preserve">- Lernbedarfsanalyse</w:t>
      </w:r>
      <w:r>
        <w:t xml:space="preserve"> </w:t>
      </w:r>
      <w:r>
        <w:t xml:space="preserve">- Trainingsformate</w:t>
      </w:r>
      <w:r>
        <w:br/>
      </w:r>
      <w:r>
        <w:t xml:space="preserve">- Kontinuierliches Lernen institutionalisieren</w:t>
      </w:r>
    </w:p>
    <w:p>
      <w:pPr>
        <w:pStyle w:val="BodyText"/>
      </w:pPr>
      <w:r>
        <w:t xml:space="preserve">Tauscht Euch über Eure Erfahrungen im Circle aus (2-Minuten-Timebox pro Circle-Mitglied!)</w:t>
      </w:r>
    </w:p>
    <w:bookmarkEnd w:id="121"/>
    <w:bookmarkStart w:id="122" w:name="kata-8-communities-im-change-management"/>
    <w:p>
      <w:pPr>
        <w:pStyle w:val="Heading2"/>
      </w:pPr>
      <w:r>
        <w:rPr>
          <w:rStyle w:val="SectionNumber"/>
        </w:rPr>
        <w:t xml:space="preserve">5.9</w:t>
      </w:r>
      <w:r>
        <w:tab/>
      </w:r>
      <w:r>
        <w:t xml:space="preserve">Kata 8: Communities im Change Management</w:t>
      </w:r>
    </w:p>
    <w:p>
      <w:pPr>
        <w:pStyle w:val="FirstParagraph"/>
      </w:pPr>
      <w:r>
        <w:t xml:space="preserve">In dieser Übung beschäftigst Du Dich mit Deinen persönlichen Erfahrungen zu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46"/>
        </w:numPr>
      </w:pPr>
      <w:r>
        <w:t xml:space="preserve">Welche persönlichen Erfahrungen habe ich in verschiedenen Communities gemacht und wie haben sie mir ermöglicht, Veränderungen zu unterstützen?</w:t>
      </w:r>
    </w:p>
    <w:p>
      <w:pPr>
        <w:pStyle w:val="Compact"/>
        <w:numPr>
          <w:ilvl w:val="0"/>
          <w:numId w:val="1046"/>
        </w:numPr>
      </w:pPr>
      <w:r>
        <w:t xml:space="preserve">Welche Rolle spielen gemeinsame Interessen und Werte in Communities und wie beeinflussen sie meine Teilnahme und Integration?</w:t>
      </w:r>
    </w:p>
    <w:p>
      <w:pPr>
        <w:pStyle w:val="Compact"/>
        <w:numPr>
          <w:ilvl w:val="0"/>
          <w:numId w:val="1046"/>
        </w:numPr>
      </w:pPr>
      <w:r>
        <w:t xml:space="preserve">Welche Herausforderungen und Konflikte können in Change-Communities auftreten und wie bin ich / sind wir damit umgegangen?</w:t>
      </w:r>
    </w:p>
    <w:p>
      <w:pPr>
        <w:pStyle w:val="Compact"/>
        <w:numPr>
          <w:ilvl w:val="0"/>
          <w:numId w:val="1046"/>
        </w:numPr>
      </w:pPr>
      <w:r>
        <w:t xml:space="preserve">Welche Verantwortung habe ich als Mitglied einer Community, um ein positives und unterstützendes Umfeld zu schaffen?</w:t>
      </w:r>
    </w:p>
    <w:p>
      <w:pPr>
        <w:pStyle w:val="Compact"/>
        <w:numPr>
          <w:ilvl w:val="0"/>
          <w:numId w:val="1046"/>
        </w:numPr>
      </w:pPr>
      <w:r>
        <w:t xml:space="preserve">Welche Bedeutung hat der Austausch und die Zusammenarbeit mit anderen Community-Mitgliedern für mein persönliches Wohlbefinden und meine Zufriedenheit?</w:t>
      </w:r>
    </w:p>
    <w:p>
      <w:pPr>
        <w:pStyle w:val="Compact"/>
        <w:numPr>
          <w:ilvl w:val="0"/>
          <w:numId w:val="1046"/>
        </w:numPr>
      </w:pPr>
      <w:r>
        <w:t xml:space="preserve">Wie kann ich Communities noch stärker in Change Projekten nutzen?</w:t>
      </w:r>
    </w:p>
    <w:p>
      <w:pPr>
        <w:pStyle w:val="FirstParagraph"/>
      </w:pPr>
      <w:r>
        <w:t xml:space="preserve">Wenn Du noch tiefer einsteigen möchtest:</w:t>
      </w:r>
      <w:r>
        <w:t xml:space="preserve"> </w:t>
      </w:r>
      <w:r>
        <w:t xml:space="preserve">- Was kann ich dazu beitragen, ein unterstützendes und kooperatives Umfeld innerhalb der Community zu fördern?</w:t>
      </w:r>
      <w:r>
        <w:t xml:space="preserve"> </w:t>
      </w:r>
      <w:r>
        <w:t xml:space="preserve">- Wie kann ich meine Ideen und Meinungen effektiv in die Community und den Change-Prozess einbringen?</w:t>
      </w:r>
    </w:p>
    <w:p>
      <w:pPr>
        <w:pStyle w:val="BodyText"/>
      </w:pPr>
      <w:r>
        <w:t xml:space="preserve">Aufgabe: Tauscht Euch im Circle dazu aus.</w:t>
      </w:r>
    </w:p>
    <w:bookmarkEnd w:id="122"/>
    <w:bookmarkStart w:id="123" w:name="X2772b5d8a0f89294f1684d9e53654ab443950f4"/>
    <w:p>
      <w:pPr>
        <w:pStyle w:val="Heading2"/>
      </w:pPr>
      <w:r>
        <w:rPr>
          <w:rStyle w:val="SectionNumber"/>
        </w:rPr>
        <w:t xml:space="preserve">5.10</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7"/>
        </w:numPr>
      </w:pPr>
      <w:r>
        <w:t xml:space="preserve">Reflektiere, welche KPIs und Feedback Instrumente in Deinem Umfeld das Change-Management unterstützen</w:t>
      </w:r>
    </w:p>
    <w:p>
      <w:pPr>
        <w:pStyle w:val="Compact"/>
        <w:numPr>
          <w:ilvl w:val="0"/>
          <w:numId w:val="1047"/>
        </w:numPr>
      </w:pPr>
      <w:r>
        <w:t xml:space="preserve">Wie kannst Du Change Readiness Checks nutzen?</w:t>
      </w:r>
    </w:p>
    <w:p>
      <w:pPr>
        <w:pStyle w:val="Compact"/>
        <w:numPr>
          <w:ilvl w:val="0"/>
          <w:numId w:val="1047"/>
        </w:numPr>
      </w:pPr>
      <w:r>
        <w:t xml:space="preserve">Welche Rolle können Change Impact Analysen spielen?</w:t>
      </w:r>
    </w:p>
    <w:p>
      <w:pPr>
        <w:pStyle w:val="Compact"/>
        <w:numPr>
          <w:ilvl w:val="0"/>
          <w:numId w:val="1047"/>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23"/>
    <w:bookmarkStart w:id="124" w:name="Xeaa3d421770d5a28c599566e5beb6832550b825"/>
    <w:p>
      <w:pPr>
        <w:pStyle w:val="Heading2"/>
      </w:pPr>
      <w:r>
        <w:rPr>
          <w:rStyle w:val="SectionNumber"/>
        </w:rPr>
        <w:t xml:space="preserve">5.11</w:t>
      </w:r>
      <w:r>
        <w:tab/>
      </w:r>
      <w:r>
        <w:t xml:space="preserve">Kata 10: Rolle organisatorischer Veränderungen in IT-Projekten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BodyText"/>
      </w:pPr>
      <w:r>
        <w:t xml:space="preserve">Identifiziert ein aktuelles oder kürzlich abgeschlossenes Change-Projekt und überlegt folgende Punkte:</w:t>
      </w:r>
      <w:r>
        <w:t xml:space="preserve"> </w:t>
      </w:r>
      <w:r>
        <w:t xml:space="preserve">- Welche organisatorischen Veränderungen waren notwendig? Wurden diese erfolgreich umgesetzt?</w:t>
      </w:r>
      <w:r>
        <w:t xml:space="preserve"> </w:t>
      </w:r>
      <w:r>
        <w:t xml:space="preserve">- Wie wurden neue Führungs- und Zusammenarbeitsmodelle integriert?</w:t>
      </w:r>
      <w:r>
        <w:t xml:space="preserve"> </w:t>
      </w:r>
      <w:r>
        <w:t xml:space="preserve">- Welche neuen Fähigkeiten und Kompetenzen waren erforderlich? Wie wurden diese entwickelt oder besorgt?</w:t>
      </w:r>
    </w:p>
    <w:p>
      <w:pPr>
        <w:pStyle w:val="BodyText"/>
      </w:pPr>
      <w:r>
        <w:t xml:space="preserve">Tauscht Euch über Eure Erfahrungen im Circle aus (3-Minuten-Timebox pro Circle-Mitglied!)</w:t>
      </w:r>
    </w:p>
    <w:p>
      <w:pPr>
        <w:pStyle w:val="BodyText"/>
      </w:pPr>
      <w:r>
        <w:rPr>
          <w:b/>
          <w:bCs/>
        </w:rPr>
        <w:t xml:space="preserve">Kata 11: Organisationskultur und Change-Management</w:t>
      </w:r>
    </w:p>
    <w:p>
      <w:pPr>
        <w:pStyle w:val="BodyText"/>
      </w:pPr>
      <w:r>
        <w:t xml:space="preserve">Betrachten wir die Organisationskultur im Kontext von IT-Transformationen:</w:t>
      </w:r>
    </w:p>
    <w:p>
      <w:pPr>
        <w:pStyle w:val="Compact"/>
        <w:numPr>
          <w:ilvl w:val="0"/>
          <w:numId w:val="1048"/>
        </w:numPr>
      </w:pPr>
      <w:r>
        <w:t xml:space="preserve">Identifiziert Beispiele für Scheins drei kulturelle Ebenen (Artefakte, bekundete Werte, grundlegende Annahmen) in Bezug auf IT und Digitalisierung in Eurem Unternehmen.</w:t>
      </w:r>
    </w:p>
    <w:p>
      <w:pPr>
        <w:pStyle w:val="Compact"/>
        <w:numPr>
          <w:ilvl w:val="0"/>
          <w:numId w:val="1048"/>
        </w:numPr>
      </w:pPr>
      <w:r>
        <w:t xml:space="preserve">Wie wird der Nutzen neuer IT-Systeme auf allen kulturellen Ebenen vermittelt?</w:t>
      </w:r>
    </w:p>
    <w:p>
      <w:pPr>
        <w:pStyle w:val="FirstParagraph"/>
      </w:pPr>
      <w:r>
        <w:t xml:space="preserve">Entwickelt einen Aktionsplan:</w:t>
      </w:r>
    </w:p>
    <w:p>
      <w:pPr>
        <w:pStyle w:val="Compact"/>
        <w:numPr>
          <w:ilvl w:val="0"/>
          <w:numId w:val="1049"/>
        </w:numPr>
      </w:pPr>
      <w:r>
        <w:t xml:space="preserve">Basierend auf Eurer Analyse, schlagt drei konkrete Maßnahmen vor, um organisatorische Veränderungen und Kulturwandel in IT-Projekten im Unternehmen zu verbessern.</w:t>
      </w:r>
    </w:p>
    <w:p>
      <w:pPr>
        <w:pStyle w:val="Compact"/>
        <w:numPr>
          <w:ilvl w:val="0"/>
          <w:numId w:val="1049"/>
        </w:numPr>
      </w:pPr>
      <w:r>
        <w:t xml:space="preserve">Wie setzt Ihr diese Maßnahmen um und messt ihren Erfolg?</w:t>
      </w:r>
    </w:p>
    <w:p>
      <w:pPr>
        <w:pStyle w:val="FirstParagraph"/>
      </w:pPr>
      <w:r>
        <w:t xml:space="preserve">Aufgabe: Tauschen Euch mit den Circle-Mitgliedern über Ihre Erkenntnisse und Aktionspläne aus. (2-Minuten-Timebox pro Circle-Mitglied!)</w:t>
      </w:r>
    </w:p>
    <w:bookmarkEnd w:id="124"/>
    <w:bookmarkStart w:id="125" w:name="kata-12-review-lessons-learned"/>
    <w:p>
      <w:pPr>
        <w:pStyle w:val="Heading2"/>
      </w:pPr>
      <w:r>
        <w:rPr>
          <w:rStyle w:val="SectionNumber"/>
        </w:rPr>
        <w:t xml:space="preserve">5.12</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50"/>
        </w:numPr>
      </w:pPr>
      <w:r>
        <w:t xml:space="preserve">Was nimmst Du als entscheidende Erfahrungen / Highlights aus den letzten Wochen mit?</w:t>
      </w:r>
    </w:p>
    <w:p>
      <w:pPr>
        <w:pStyle w:val="Compact"/>
        <w:numPr>
          <w:ilvl w:val="0"/>
          <w:numId w:val="1050"/>
        </w:numPr>
      </w:pPr>
      <w:r>
        <w:t xml:space="preserve">Was waren für Dich die wichtigsten Meilensteine / Entwicklungsschritte?</w:t>
      </w:r>
    </w:p>
    <w:p>
      <w:pPr>
        <w:pStyle w:val="Compact"/>
        <w:numPr>
          <w:ilvl w:val="0"/>
          <w:numId w:val="1050"/>
        </w:numPr>
      </w:pPr>
      <w:r>
        <w:t xml:space="preserve">Was hat Dir im Circle gefehlt oder ist zu kurz gekommen zum Thema Change Management?</w:t>
      </w:r>
    </w:p>
    <w:p>
      <w:pPr>
        <w:pStyle w:val="Compact"/>
        <w:numPr>
          <w:ilvl w:val="0"/>
          <w:numId w:val="1050"/>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25"/>
    <w:bookmarkEnd w:id="126"/>
    <w:bookmarkStart w:id="130" w:name="anhang"/>
    <w:p>
      <w:pPr>
        <w:pStyle w:val="Heading1"/>
      </w:pPr>
      <w:r>
        <w:rPr>
          <w:rStyle w:val="SectionNumber"/>
        </w:rPr>
        <w:t xml:space="preserve">6</w:t>
      </w:r>
      <w:r>
        <w:tab/>
      </w:r>
      <w:r>
        <w:t xml:space="preserve">Anhang</w:t>
      </w:r>
    </w:p>
    <w:bookmarkStart w:id="127" w:name="danksagungen"/>
    <w:p>
      <w:pPr>
        <w:pStyle w:val="Heading2"/>
      </w:pPr>
      <w:r>
        <w:rPr>
          <w:rStyle w:val="SectionNumber"/>
        </w:rPr>
        <w:t xml:space="preserve">6.1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 das gesamte Team, dass die Inhalte für die erste Version des Leitfadens erstellt hat: Anja Lommatzsch, Marcel Kirchner, Rainer Bartl, Sylvia Keske Katrin Elsner, Conny Dettloff, Seyde Sosnovski, &amp; Thomas Jenewein.</w:t>
      </w:r>
      <w:r>
        <w:t xml:space="preserve"> </w:t>
      </w:r>
      <w:r>
        <w:t xml:space="preserve">Danke an Jan Bretschneider an die Unterstützung rund um GitHub.</w:t>
      </w:r>
      <w:r>
        <w:t xml:space="preserve"> </w:t>
      </w:r>
      <w:r>
        <w:t xml:space="preserve">Und vielen Dank an Simon Dückert und das Cogneon Team sowie die Community and das Vorantreiben von lernOS.</w:t>
      </w:r>
    </w:p>
    <w:bookmarkEnd w:id="127"/>
    <w:bookmarkStart w:id="128" w:name="änderungshistorie"/>
    <w:p>
      <w:pPr>
        <w:pStyle w:val="Heading2"/>
      </w:pPr>
      <w:r>
        <w:rPr>
          <w:rStyle w:val="SectionNumber"/>
        </w:rPr>
        <w:t xml:space="preserve">6.2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28"/>
    <w:bookmarkStart w:id="129" w:name="lernos-glossar"/>
    <w:p>
      <w:pPr>
        <w:pStyle w:val="Heading2"/>
      </w:pPr>
      <w:r>
        <w:rPr>
          <w:rStyle w:val="SectionNumber"/>
        </w:rPr>
        <w:t xml:space="preserve">6.3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29"/>
    <w:bookmarkEnd w:id="1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hyperlink" Id="rId79"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4" Target="https://bvcm.org/" TargetMode="External" /><Relationship Type="http://schemas.openxmlformats.org/officeDocument/2006/relationships/hyperlink" Id="rId33" Target="https://change-workout.de/" TargetMode="External" /><Relationship Type="http://schemas.openxmlformats.org/officeDocument/2006/relationships/hyperlink" Id="rId90" Target="https://cogneon.github.io/lernos-cmgmt/de/" TargetMode="External" /><Relationship Type="http://schemas.openxmlformats.org/officeDocument/2006/relationships/hyperlink" Id="rId106" Target="https://cogneon.github.io/lernos-for-organizations/de/3-2-Veraenderung-von-Organisation/" TargetMode="External" /><Relationship Type="http://schemas.openxmlformats.org/officeDocument/2006/relationships/hyperlink" Id="rId107" Target="https://cogneon.github.io/lernos-for-organizations/de/3-4-Eine-Lernende-Organisation-kultivieren/" TargetMode="External" /><Relationship Type="http://schemas.openxmlformats.org/officeDocument/2006/relationships/hyperlink" Id="rId76" Target="https://colearn.de/" TargetMode="External" /><Relationship Type="http://schemas.openxmlformats.org/officeDocument/2006/relationships/hyperlink" Id="rId102" Target="https://community.sap.com/t5/sap-training-and-change-management/change-readiness-analysen-in-wissenschaft-und-sap-praxis/ba-p/13919564" TargetMode="External" /><Relationship Type="http://schemas.openxmlformats.org/officeDocument/2006/relationships/hyperlink" Id="rId80"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3"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1"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8" Target="https://esco.ec.europa.eu/" TargetMode="External" /><Relationship Type="http://schemas.openxmlformats.org/officeDocument/2006/relationships/hyperlink" Id="rId88" Target="https://events.sap.com/de/sap-change-training/de/home" TargetMode="External" /><Relationship Type="http://schemas.openxmlformats.org/officeDocument/2006/relationships/hyperlink" Id="rId95" Target="https://harald-schirmer.de/2014/03/11/social-media-adoption-the-guide-concept/" TargetMode="External" /><Relationship Type="http://schemas.openxmlformats.org/officeDocument/2006/relationships/hyperlink" Id="rId96"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7"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3"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5"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1" Target="https://www.communitymanagement.de/community-canvas/" TargetMode="External" /><Relationship Type="http://schemas.openxmlformats.org/officeDocument/2006/relationships/hyperlink" Id="rId92" Target="https://www.communitymanagement.de/community-management/community-management-studien-trends-und-konferenzen/" TargetMode="External" /><Relationship Type="http://schemas.openxmlformats.org/officeDocument/2006/relationships/hyperlink" Id="rId108" Target="https://www.emergize.org/restrukturierung/" TargetMode="External" /><Relationship Type="http://schemas.openxmlformats.org/officeDocument/2006/relationships/hyperlink" Id="rId87" Target="https://www.linkedin.com/groups/8682361/" TargetMode="External" /><Relationship Type="http://schemas.openxmlformats.org/officeDocument/2006/relationships/hyperlink" Id="rId112" Target="https://www.linkedin.com/posts/thomasjenewein_learning-circle-experience-tool-guide-activity-6899241139640356864-l-6G/" TargetMode="External" /><Relationship Type="http://schemas.openxmlformats.org/officeDocument/2006/relationships/hyperlink" Id="rId89" Target="https://www.linkedin.com/pulse/engagement-und-mitmachen-f%C3%B6rdern-communities-mit-tanja-jenewein/" TargetMode="External" /><Relationship Type="http://schemas.openxmlformats.org/officeDocument/2006/relationships/hyperlink" Id="rId72" Target="https://www.linkedin.com/pulse/how-measure-benefits-training-people-development-thomas-jenewein/" TargetMode="External" /><Relationship Type="http://schemas.openxmlformats.org/officeDocument/2006/relationships/hyperlink" Id="rId101" Target="https://www.linkedin.com/pulse/insightsin2change-you-ready-change-changeinsight/" TargetMode="External" /><Relationship Type="http://schemas.openxmlformats.org/officeDocument/2006/relationships/hyperlink" Id="rId68" Target="https://www.linkedin.com/pulse/narrative-organisationsentwicklung-mit-tobias-grewe-enc320-jenewein-i6gye/"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_rels/footnotes.xml.rels><?xml version="1.0" encoding="UTF-8"?><Relationships xmlns="http://schemas.openxmlformats.org/package/2006/relationships"><Relationship Type="http://schemas.openxmlformats.org/officeDocument/2006/relationships/hyperlink" Id="rId79"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4" Target="https://bvcm.org/" TargetMode="External" /><Relationship Type="http://schemas.openxmlformats.org/officeDocument/2006/relationships/hyperlink" Id="rId33" Target="https://change-workout.de/" TargetMode="External" /><Relationship Type="http://schemas.openxmlformats.org/officeDocument/2006/relationships/hyperlink" Id="rId90" Target="https://cogneon.github.io/lernos-cmgmt/de/" TargetMode="External" /><Relationship Type="http://schemas.openxmlformats.org/officeDocument/2006/relationships/hyperlink" Id="rId106" Target="https://cogneon.github.io/lernos-for-organizations/de/3-2-Veraenderung-von-Organisation/" TargetMode="External" /><Relationship Type="http://schemas.openxmlformats.org/officeDocument/2006/relationships/hyperlink" Id="rId107" Target="https://cogneon.github.io/lernos-for-organizations/de/3-4-Eine-Lernende-Organisation-kultivieren/" TargetMode="External" /><Relationship Type="http://schemas.openxmlformats.org/officeDocument/2006/relationships/hyperlink" Id="rId76" Target="https://colearn.de/" TargetMode="External" /><Relationship Type="http://schemas.openxmlformats.org/officeDocument/2006/relationships/hyperlink" Id="rId102" Target="https://community.sap.com/t5/sap-training-and-change-management/change-readiness-analysen-in-wissenschaft-und-sap-praxis/ba-p/13919564" TargetMode="External" /><Relationship Type="http://schemas.openxmlformats.org/officeDocument/2006/relationships/hyperlink" Id="rId80"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3"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1"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8" Target="https://esco.ec.europa.eu/" TargetMode="External" /><Relationship Type="http://schemas.openxmlformats.org/officeDocument/2006/relationships/hyperlink" Id="rId88" Target="https://events.sap.com/de/sap-change-training/de/home" TargetMode="External" /><Relationship Type="http://schemas.openxmlformats.org/officeDocument/2006/relationships/hyperlink" Id="rId95" Target="https://harald-schirmer.de/2014/03/11/social-media-adoption-the-guide-concept/" TargetMode="External" /><Relationship Type="http://schemas.openxmlformats.org/officeDocument/2006/relationships/hyperlink" Id="rId96"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7"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3"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5"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1" Target="https://www.communitymanagement.de/community-canvas/" TargetMode="External" /><Relationship Type="http://schemas.openxmlformats.org/officeDocument/2006/relationships/hyperlink" Id="rId92" Target="https://www.communitymanagement.de/community-management/community-management-studien-trends-und-konferenzen/" TargetMode="External" /><Relationship Type="http://schemas.openxmlformats.org/officeDocument/2006/relationships/hyperlink" Id="rId108" Target="https://www.emergize.org/restrukturierung/" TargetMode="External" /><Relationship Type="http://schemas.openxmlformats.org/officeDocument/2006/relationships/hyperlink" Id="rId87" Target="https://www.linkedin.com/groups/8682361/" TargetMode="External" /><Relationship Type="http://schemas.openxmlformats.org/officeDocument/2006/relationships/hyperlink" Id="rId112" Target="https://www.linkedin.com/posts/thomasjenewein_learning-circle-experience-tool-guide-activity-6899241139640356864-l-6G/" TargetMode="External" /><Relationship Type="http://schemas.openxmlformats.org/officeDocument/2006/relationships/hyperlink" Id="rId89" Target="https://www.linkedin.com/pulse/engagement-und-mitmachen-f%C3%B6rdern-communities-mit-tanja-jenewein/" TargetMode="External" /><Relationship Type="http://schemas.openxmlformats.org/officeDocument/2006/relationships/hyperlink" Id="rId72" Target="https://www.linkedin.com/pulse/how-measure-benefits-training-people-development-thomas-jenewein/" TargetMode="External" /><Relationship Type="http://schemas.openxmlformats.org/officeDocument/2006/relationships/hyperlink" Id="rId101" Target="https://www.linkedin.com/pulse/insightsin2change-you-ready-change-changeinsight/" TargetMode="External" /><Relationship Type="http://schemas.openxmlformats.org/officeDocument/2006/relationships/hyperlink" Id="rId68" Target="https://www.linkedin.com/pulse/narrative-organisationsentwicklung-mit-tobias-grewe-enc320-jenewein-i6gye/"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2025-09-23T12:02:03Z</dcterms:created>
  <dcterms:modified xsi:type="dcterms:W3CDTF">2025-09-23T12:02:03Z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0.2 (23.09.2025)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2</vt:lpwstr>
  </property>
  <property fmtid="{D5CDD505-2E9C-101B-9397-08002B2CF9AE}" pid="14" name="toc-own-page">
    <vt:lpwstr>True</vt:lpwstr>
  </property>
</Properties>
</file>