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0" w:name="grundlagen"/>
    <w:p>
      <w:pPr>
        <w:pStyle w:val="Heading1"/>
      </w:pPr>
      <w:r>
        <w:rPr>
          <w:rStyle w:val="SectionNumber"/>
        </w:rPr>
        <w:t xml:space="preserve">4</w:t>
      </w:r>
      <w:r>
        <w:tab/>
      </w:r>
      <w:r>
        <w:t xml:space="preserve">Grundlagen</w:t>
      </w:r>
    </w:p>
    <w:bookmarkStart w:id="54"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p>
    <w:p>
      <w:pPr>
        <w:pStyle w:val="Compact"/>
        <w:numPr>
          <w:ilvl w:val="0"/>
          <w:numId w:val="1005"/>
        </w:numPr>
      </w:pPr>
      <w:hyperlink r:id="rId33">
        <w:r>
          <w:rPr>
            <w:rStyle w:val="Hyperlink"/>
          </w:rPr>
          <w:t xml:space="preserve">Podcast von Prof. Trost zu Change Management</w:t>
        </w:r>
      </w:hyperlink>
    </w:p>
    <w:p>
      <w:pPr>
        <w:pStyle w:val="Compact"/>
        <w:numPr>
          <w:ilvl w:val="0"/>
          <w:numId w:val="1005"/>
        </w:numPr>
      </w:pPr>
      <w:hyperlink r:id="rId34">
        <w:r>
          <w:rPr>
            <w:rStyle w:val="Hyperlink"/>
          </w:rPr>
          <w:t xml:space="preserve">Change Workout - Infoseite</w:t>
        </w:r>
      </w:hyperlink>
    </w:p>
    <w:p>
      <w:pPr>
        <w:pStyle w:val="Compact"/>
        <w:numPr>
          <w:ilvl w:val="0"/>
          <w:numId w:val="1005"/>
        </w:numPr>
      </w:pPr>
      <w:hyperlink r:id="rId35">
        <w:r>
          <w:rPr>
            <w:rStyle w:val="Hyperlink"/>
          </w:rPr>
          <w:t xml:space="preserve">70 Prozent aller Change-Vorhaben scheitern n-immer</w:t>
        </w:r>
      </w:hyperlink>
    </w:p>
    <w:p>
      <w:pPr>
        <w:pStyle w:val="Compact"/>
        <w:numPr>
          <w:ilvl w:val="0"/>
          <w:numId w:val="1005"/>
        </w:numPr>
      </w:pPr>
      <w:hyperlink r:id="rId36">
        <w:r>
          <w:rPr>
            <w:rStyle w:val="Hyperlink"/>
          </w:rPr>
          <w:t xml:space="preserve">Reflektion der Nutzung von Change Modellen</w:t>
        </w:r>
      </w:hyperlink>
    </w:p>
    <w:p>
      <w:pPr>
        <w:pStyle w:val="Compact"/>
        <w:numPr>
          <w:ilvl w:val="0"/>
          <w:numId w:val="1005"/>
        </w:numPr>
      </w:pPr>
      <w:hyperlink r:id="rId37">
        <w:r>
          <w:rPr>
            <w:rStyle w:val="Hyperlink"/>
          </w:rPr>
          <w:t xml:space="preserve">Metatheorie der Veränderung Infoseite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6"/>
    <w:bookmarkStart w:id="47"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3"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CLARC: Die Rolle von Personalmanagern im Change Management |</w:t>
        </w:r>
      </w:hyperlink>
    </w:p>
    <w:bookmarkEnd w:id="53"/>
    <w:bookmarkEnd w:id="54"/>
    <w:bookmarkStart w:id="62"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Projektmanager*innen, IT-Teams, Einkauf, Fachabteilungen, Personalbereich, Geschäftsführer*innen, Enduser und weitere interne Stakeholder wie Betriebsräte*innen und auch Datenschutzbeauftragt*innen.</w:t>
      </w:r>
    </w:p>
    <w:p>
      <w:pPr>
        <w:pStyle w:val="BodyText"/>
      </w:pPr>
      <w:r>
        <w:t xml:space="preserve">Je nach Projekt können auch externe Stakeholder eine Rolle spielen. Von Partner*innen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5" w:name="die-psychologische-rolle-der-managerin"/>
    <w:p>
      <w:pPr>
        <w:pStyle w:val="Heading3"/>
      </w:pPr>
      <w:r>
        <w:rPr>
          <w:rStyle w:val="SectionNumber"/>
        </w:rPr>
        <w:t xml:space="preserve">4.2.1</w:t>
      </w:r>
      <w:r>
        <w:tab/>
      </w:r>
      <w:r>
        <w:t xml:space="preserve">Die psychologische Rolle der Manager*in</w:t>
      </w:r>
    </w:p>
    <w:p>
      <w:pPr>
        <w:pStyle w:val="FirstParagraph"/>
      </w:pPr>
      <w:r>
        <w:t xml:space="preserve">Manager*innen spielen eine entscheidende Rolle in IT-Change-Management-Projekten. Sie sind nicht nur Entscheidungsträger*innen und Ressourcenbereitsteller*innen,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Manager*innen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Manager*innen Überzeugungen und positive Emotionen über Veränderungen mitgestalten können</w:t>
      </w:r>
    </w:p>
    <w:p>
      <w:pPr>
        <w:pStyle w:val="BodyText"/>
      </w:pPr>
      <w:r>
        <w:rPr>
          <w:b/>
          <w:bCs/>
        </w:rPr>
        <w:t xml:space="preserve">Kommunikation</w:t>
      </w:r>
      <w:r>
        <w:t xml:space="preserve">: Manager*innen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Manager*innen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Manager*innen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Manager*innen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Manager*innen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5"/>
    <w:bookmarkStart w:id="61"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6"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6"/>
    <w:bookmarkStart w:id="58"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7">
        <w:r>
          <w:rPr>
            <w:rStyle w:val="Hyperlink"/>
          </w:rPr>
          <w:t xml:space="preserve">Quelle: Prof. Ina Kohl, Vortrag</w:t>
        </w:r>
      </w:hyperlink>
      <w:hyperlink r:id="rId57"/>
    </w:p>
    <w:bookmarkEnd w:id="58"/>
    <w:bookmarkStart w:id="60"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Wissensträger*innen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9">
        <w:r>
          <w:rPr>
            <w:rStyle w:val="Hyperlink"/>
          </w:rPr>
          <w:t xml:space="preserve">SAP Training und Change Kaffee Ecke: Widerstände im Change – Ursachen, Formen und möglicher Umgang</w:t>
        </w:r>
      </w:hyperlink>
    </w:p>
    <w:bookmarkEnd w:id="60"/>
    <w:bookmarkEnd w:id="61"/>
    <w:bookmarkEnd w:id="62"/>
    <w:bookmarkStart w:id="70" w:name="kommunikation-im-change-management"/>
    <w:p>
      <w:pPr>
        <w:pStyle w:val="Heading2"/>
      </w:pPr>
      <w:r>
        <w:rPr>
          <w:rStyle w:val="SectionNumber"/>
        </w:rPr>
        <w:t xml:space="preserve">4.3</w:t>
      </w:r>
      <w:r>
        <w:tab/>
      </w:r>
      <w:r>
        <w:t xml:space="preserve">Kommunikation im Change-Management</w:t>
      </w:r>
    </w:p>
    <w:bookmarkStart w:id="63"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3"/>
    <w:bookmarkStart w:id="64"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4"/>
    <w:bookmarkStart w:id="65"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5"/>
    <w:bookmarkStart w:id="66"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6"/>
    <w:bookmarkStart w:id="67"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7"/>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8">
        <w:r>
          <w:rPr>
            <w:rStyle w:val="Hyperlink"/>
          </w:rPr>
          <w:t xml:space="preserve">Kommunikation in SAP Change Management Projekten</w:t>
        </w:r>
      </w:hyperlink>
      <w:hyperlink r:id="rId68">
        <w:r>
          <w:rPr>
            <w:rStyle w:val="Hyperlink"/>
          </w:rPr>
          <w:t xml:space="preserve">-</w:t>
        </w:r>
      </w:hyperlink>
      <w:r>
        <w:t xml:space="preserve"> </w:t>
      </w:r>
      <w:hyperlink r:id="rId68">
        <w:r>
          <w:rPr>
            <w:rStyle w:val="Hyperlink"/>
          </w:rPr>
          <w:t xml:space="preserve">Kaffe</w:t>
        </w:r>
      </w:hyperlink>
      <w:r>
        <w:t xml:space="preserve">e</w:t>
      </w:r>
      <w:hyperlink r:id="rId68">
        <w:r>
          <w:rPr>
            <w:rStyle w:val="Hyperlink"/>
          </w:rPr>
          <w:t xml:space="preserve">-</w:t>
        </w:r>
      </w:hyperlink>
      <w:hyperlink r:id="rId68">
        <w:r>
          <w:rPr>
            <w:rStyle w:val="Hyperlink"/>
          </w:rPr>
          <w:t xml:space="preserve">Ecken Recap</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3">
        <w:r>
          <w:rPr>
            <w:rStyle w:val="Hyperlink"/>
          </w:rPr>
          <w:t xml:space="preserve">https://cogneon.github.io/lernos/de/learning</w:t>
        </w:r>
      </w:hyperlink>
      <w:hyperlink r:id="rId113">
        <w:r>
          <w:rPr>
            <w:rStyle w:val="Hyperlink"/>
          </w:rPr>
          <w:t xml:space="preserve">-</w:t>
        </w:r>
      </w:hyperlink>
      <w:hyperlink r:id="rId113">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2025-09-22T20:39:12Z</dcterms:created>
  <dcterms:modified xsi:type="dcterms:W3CDTF">2025-09-22T20:39:12Z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