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2"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3" name="Picture"/>
            <a:graphic>
              <a:graphicData uri="http://schemas.openxmlformats.org/drawingml/2006/picture">
                <pic:pic>
                  <pic:nvPicPr>
                    <pic:cNvPr descr="https://i.creativecommons.org/l/by/4.0/88x31.png" id="14" name="Picture"/>
                    <pic:cNvPicPr>
                      <a:picLocks noChangeArrowheads="1" noChangeAspect="1"/>
                    </pic:cNvPicPr>
                  </pic:nvPicPr>
                  <pic:blipFill>
                    <a:blip r:embed="rId12"/>
                    <a:stretch>
                      <a:fillRect/>
                    </a:stretch>
                  </pic:blipFill>
                  <pic:spPr bwMode="auto">
                    <a:xfrm>
                      <a:off x="0" y="0"/>
                      <a:ext cx="1117600" cy="393700"/>
                    </a:xfrm>
                    <a:prstGeom prst="rect">
                      <a:avLst/>
                    </a:prstGeom>
                    <a:noFill/>
                    <a:ln w="9525">
                      <a:noFill/>
                      <a:headEnd/>
                      <a:tailEnd/>
                    </a:ln>
                  </pic:spPr>
                </pic:pic>
              </a:graphicData>
            </a:graphic>
          </wp:inline>
        </w:drawing>
      </w:r>
    </w:p>
    <w:bookmarkStart w:id="16"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15">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6"/>
    <w:bookmarkStart w:id="17"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7"/>
    <w:bookmarkStart w:id="21"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8">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9">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20">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1"/>
    <w:bookmarkEnd w:id="22"/>
    <w:bookmarkStart w:id="110" w:name="grundlagen"/>
    <w:p>
      <w:pPr>
        <w:pStyle w:val="Heading1"/>
      </w:pPr>
      <w:r>
        <w:rPr>
          <w:rStyle w:val="SectionNumber"/>
        </w:rPr>
        <w:t xml:space="preserve">4</w:t>
      </w:r>
      <w:r>
        <w:tab/>
      </w:r>
      <w:r>
        <w:t xml:space="preserve">Grundlagen</w:t>
      </w:r>
    </w:p>
    <w:bookmarkStart w:id="54"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3"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3"/>
    <w:bookmarkStart w:id="25"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4">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5"/>
    <w:bookmarkStart w:id="26"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6"/>
    <w:bookmarkStart w:id="27"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7"/>
    <w:bookmarkStart w:id="28"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Stakeholder*innen-Gruppen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8"/>
    <w:bookmarkStart w:id="29"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9"/>
    <w:bookmarkStart w:id="31"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30">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1"/>
    <w:bookmarkStart w:id="39"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2">
        <w:r>
          <w:rPr>
            <w:rStyle w:val="Hyperlink"/>
          </w:rPr>
          <w:t xml:space="preserve">Change management</w:t>
        </w:r>
      </w:hyperlink>
      <w:r>
        <w:t xml:space="preserve"> </w:t>
      </w:r>
      <w:r>
        <w:t xml:space="preserve">(Prosci)</w:t>
      </w:r>
    </w:p>
    <w:p>
      <w:pPr>
        <w:pStyle w:val="Compact"/>
        <w:numPr>
          <w:ilvl w:val="0"/>
          <w:numId w:val="1005"/>
        </w:numPr>
      </w:pPr>
      <w:hyperlink r:id="rId33">
        <w:r>
          <w:rPr>
            <w:rStyle w:val="Hyperlink"/>
          </w:rPr>
          <w:t xml:space="preserve">Podcast von Prof. Trost zu Change Management</w:t>
        </w:r>
      </w:hyperlink>
      <w:hyperlink r:id="rId33"/>
    </w:p>
    <w:p>
      <w:pPr>
        <w:pStyle w:val="Compact"/>
        <w:numPr>
          <w:ilvl w:val="0"/>
          <w:numId w:val="1005"/>
        </w:numPr>
      </w:pPr>
      <w:r>
        <w:t xml:space="preserve">Change Workout - Infoseite</w:t>
      </w:r>
      <w:r>
        <w:t xml:space="preserve"> </w:t>
      </w:r>
      <w:hyperlink r:id="rId34">
        <w:r>
          <w:rPr>
            <w:rStyle w:val="Hyperlink"/>
          </w:rPr>
          <w:t xml:space="preserve">https://change</w:t>
        </w:r>
      </w:hyperlink>
      <w:hyperlink r:id="rId34">
        <w:r>
          <w:rPr>
            <w:rStyle w:val="Hyperlink"/>
          </w:rPr>
          <w:t xml:space="preserve">-</w:t>
        </w:r>
      </w:hyperlink>
      <w:hyperlink r:id="rId34">
        <w:r>
          <w:rPr>
            <w:rStyle w:val="Hyperlink"/>
          </w:rPr>
          <w:t xml:space="preserve">workout.de/</w:t>
        </w:r>
      </w:hyperlink>
    </w:p>
    <w:p>
      <w:pPr>
        <w:pStyle w:val="Compact"/>
        <w:numPr>
          <w:ilvl w:val="0"/>
          <w:numId w:val="1005"/>
        </w:numPr>
      </w:pPr>
      <w:r>
        <w:t xml:space="preserve">70 Prozent aller Change-Vorhaben scheitern (n)immer</w:t>
      </w:r>
      <w:r>
        <w:t xml:space="preserve"> </w:t>
      </w:r>
      <w:hyperlink r:id="rId35">
        <w:r>
          <w:rPr>
            <w:rStyle w:val="Hyperlink"/>
          </w:rPr>
          <w:t xml:space="preserve">https://hrpepper.de/believe</w:t>
        </w:r>
      </w:hyperlink>
    </w:p>
    <w:p>
      <w:pPr>
        <w:pStyle w:val="Compact"/>
        <w:numPr>
          <w:ilvl w:val="0"/>
          <w:numId w:val="1005"/>
        </w:numPr>
      </w:pPr>
      <w:r>
        <w:t xml:space="preserve">Reflektion der Nutzung von Change Modellen</w:t>
      </w:r>
      <w:r>
        <w:t xml:space="preserve"> </w:t>
      </w:r>
      <w:hyperlink r:id="rId36">
        <w:r>
          <w:rPr>
            <w:rStyle w:val="Hyperlink"/>
          </w:rPr>
          <w:t xml:space="preserve">https://blogs.sap.com/2022/10/31/vorgehensmodelle</w:t>
        </w:r>
      </w:hyperlink>
    </w:p>
    <w:p>
      <w:pPr>
        <w:pStyle w:val="Compact"/>
        <w:numPr>
          <w:ilvl w:val="0"/>
          <w:numId w:val="1005"/>
        </w:numPr>
      </w:pPr>
      <w:r>
        <w:t xml:space="preserve">Metatheorie der Veränderung</w:t>
      </w:r>
      <w:r>
        <w:t xml:space="preserve"> </w:t>
      </w:r>
      <w:hyperlink r:id="rId37">
        <w:r>
          <w:rPr>
            <w:rStyle w:val="Hyperlink"/>
          </w:rPr>
          <w:t xml:space="preserve">https://metatheorie</w:t>
        </w:r>
      </w:hyperlink>
    </w:p>
    <w:p>
      <w:pPr>
        <w:pStyle w:val="Compact"/>
        <w:numPr>
          <w:ilvl w:val="0"/>
          <w:numId w:val="1005"/>
        </w:numPr>
      </w:pPr>
      <w:hyperlink r:id="rId38">
        <w:r>
          <w:rPr>
            <w:rStyle w:val="Hyperlink"/>
          </w:rPr>
          <w:t xml:space="preserve">Change Management auf Wikipedia</w:t>
        </w:r>
      </w:hyperlink>
    </w:p>
    <w:bookmarkEnd w:id="39"/>
    <w:bookmarkStart w:id="50" w:name="rollen-im-veränderungsprojekt"/>
    <w:p>
      <w:pPr>
        <w:pStyle w:val="Heading3"/>
      </w:pPr>
      <w:r>
        <w:rPr>
          <w:rStyle w:val="SectionNumber"/>
        </w:rPr>
        <w:t xml:space="preserve">4.1.9</w:t>
      </w:r>
      <w:r>
        <w:tab/>
      </w:r>
      <w:r>
        <w:t xml:space="preserve">Rollen im Veränderungsprojekt</w:t>
      </w:r>
    </w:p>
    <w:bookmarkStart w:id="40"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40"/>
    <w:bookmarkStart w:id="45"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1">
        <w:r>
          <w:rPr>
            <w:rStyle w:val="Hyperlink"/>
          </w:rPr>
          <w:t xml:space="preserve">Projektorganisation</w:t>
        </w:r>
      </w:hyperlink>
      <w:r>
        <w:t xml:space="preserve"> </w:t>
      </w:r>
      <w:r>
        <w:t xml:space="preserve">die organisatorische Stelle, der die operative Kontrolle eines</w:t>
      </w:r>
      <w:r>
        <w:t xml:space="preserve"> </w:t>
      </w:r>
      <w:hyperlink r:id="rId42">
        <w:r>
          <w:rPr>
            <w:rStyle w:val="Hyperlink"/>
          </w:rPr>
          <w:t xml:space="preserve">Projektes</w:t>
        </w:r>
      </w:hyperlink>
      <w:r>
        <w:t xml:space="preserve"> </w:t>
      </w:r>
      <w:r>
        <w:t xml:space="preserve">unterliegt. Aufgabe dieser Organisationseinheit ist primär das</w:t>
      </w:r>
      <w:r>
        <w:t xml:space="preserve"> </w:t>
      </w:r>
      <w:hyperlink r:id="rId43">
        <w:r>
          <w:rPr>
            <w:rStyle w:val="Hyperlink"/>
          </w:rPr>
          <w:t xml:space="preserve">Projektmanagement</w:t>
        </w:r>
      </w:hyperlink>
      <w:r>
        <w:t xml:space="preserve">; in kleineren Projekten wird die Projektleitung durch den</w:t>
      </w:r>
      <w:r>
        <w:t xml:space="preserve"> </w:t>
      </w:r>
      <w:hyperlink r:id="rId44">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5"/>
    <w:bookmarkStart w:id="46"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6"/>
    <w:bookmarkStart w:id="47"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7"/>
    <w:bookmarkStart w:id="48"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8"/>
    <w:bookmarkStart w:id="49"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9"/>
    <w:bookmarkEnd w:id="50"/>
    <w:bookmarkStart w:id="53"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1">
        <w:r>
          <w:rPr>
            <w:rStyle w:val="Hyperlink"/>
          </w:rPr>
          <w:t xml:space="preserve">Rollen und Verantwortlichkeiten im Änderungsmanagement | Atlassian</w:t>
        </w:r>
      </w:hyperlink>
    </w:p>
    <w:p>
      <w:pPr>
        <w:pStyle w:val="Compact"/>
        <w:numPr>
          <w:ilvl w:val="0"/>
          <w:numId w:val="1012"/>
        </w:numPr>
      </w:pPr>
      <w:hyperlink r:id="rId52">
        <w:r>
          <w:rPr>
            <w:rStyle w:val="Hyperlink"/>
          </w:rPr>
          <w:t xml:space="preserve">CLARC: Die Rolle von Personalmanagern im Change Management |</w:t>
        </w:r>
      </w:hyperlink>
    </w:p>
    <w:bookmarkEnd w:id="53"/>
    <w:bookmarkEnd w:id="54"/>
    <w:bookmarkStart w:id="62"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Projektmanager*innen, IT-Teams, Einkauf, Fachabteilungen, Personalbereich, Geschäftsführer*innen, Enduser und weitere interne Stakeholder wie Betriebsräte*innen und auch Datenschutzbeauftragt*innen.</w:t>
      </w:r>
    </w:p>
    <w:p>
      <w:pPr>
        <w:pStyle w:val="BodyText"/>
      </w:pPr>
      <w:r>
        <w:t xml:space="preserve">Je nach Projekt können auch externe Stakeholder eine Rolle spielen. Von Partner*innen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5" w:name="die-psychologische-rolle-der-managerin"/>
    <w:p>
      <w:pPr>
        <w:pStyle w:val="Heading3"/>
      </w:pPr>
      <w:r>
        <w:rPr>
          <w:rStyle w:val="SectionNumber"/>
        </w:rPr>
        <w:t xml:space="preserve">4.2.1</w:t>
      </w:r>
      <w:r>
        <w:tab/>
      </w:r>
      <w:r>
        <w:t xml:space="preserve">Die psychologische Rolle der Manager*in</w:t>
      </w:r>
    </w:p>
    <w:p>
      <w:pPr>
        <w:pStyle w:val="FirstParagraph"/>
      </w:pPr>
      <w:r>
        <w:t xml:space="preserve">Manager*innen spielen eine entscheidende Rolle in IT-Change-Management-Projekten. Sie sind nicht nur Entscheidungsträger*innen und Ressourcenbereitsteller*innen,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Manager*innen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Manager*innen Überzeugungen und positive Emotionen über Veränderungen mitgestalten können</w:t>
      </w:r>
    </w:p>
    <w:p>
      <w:pPr>
        <w:pStyle w:val="BodyText"/>
      </w:pPr>
      <w:r>
        <w:rPr>
          <w:b/>
          <w:bCs/>
        </w:rPr>
        <w:t xml:space="preserve">Kommunikation</w:t>
      </w:r>
      <w:r>
        <w:t xml:space="preserve">: Manager*innen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Manager*innen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Manager*innen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Manager*innen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Manager*innen anerkennen und belohnen die Bemühungen und Erfolge der Mitarbeitenden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55"/>
    <w:bookmarkStart w:id="61"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6"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6"/>
    <w:bookmarkStart w:id="58"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7">
        <w:r>
          <w:rPr>
            <w:rStyle w:val="Hyperlink"/>
          </w:rPr>
          <w:t xml:space="preserve">Quelle: Prof. Ina Kohl, Vortrag</w:t>
        </w:r>
      </w:hyperlink>
      <w:hyperlink r:id="rId57"/>
    </w:p>
    <w:bookmarkEnd w:id="58"/>
    <w:bookmarkStart w:id="60"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Wissensträger*innen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9">
        <w:r>
          <w:rPr>
            <w:rStyle w:val="Hyperlink"/>
          </w:rPr>
          <w:t xml:space="preserve">SAP Training und Change Kaffee Ecke: Widerstände im Change – Ursachen, Formen und möglicher Umgang</w:t>
        </w:r>
      </w:hyperlink>
    </w:p>
    <w:bookmarkEnd w:id="60"/>
    <w:bookmarkEnd w:id="61"/>
    <w:bookmarkEnd w:id="62"/>
    <w:bookmarkStart w:id="70" w:name="kommunikation-im-change-management"/>
    <w:p>
      <w:pPr>
        <w:pStyle w:val="Heading2"/>
      </w:pPr>
      <w:r>
        <w:rPr>
          <w:rStyle w:val="SectionNumber"/>
        </w:rPr>
        <w:t xml:space="preserve">4.3</w:t>
      </w:r>
      <w:r>
        <w:tab/>
      </w:r>
      <w:r>
        <w:t xml:space="preserve">Kommunikation im Change-Management</w:t>
      </w:r>
    </w:p>
    <w:bookmarkStart w:id="63"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3"/>
    <w:bookmarkStart w:id="64"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4"/>
    <w:bookmarkStart w:id="65"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Abteilungsleiter*innen,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5"/>
    <w:bookmarkStart w:id="66"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Teamleiter*innen und direkten Vorgesetzten: Die Einbeziehung von Teamleiter*innen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6"/>
    <w:bookmarkStart w:id="67"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FirstParagraph"/>
      </w:pPr>
      <w:r>
        <w:t xml:space="preserve">Wenn Geschichten richtig eingesetzt werden, können sie die Akzeptanz und Unterstützung für den Wandel wesentlich verbessern.</w:t>
      </w:r>
    </w:p>
    <w:bookmarkEnd w:id="67"/>
    <w:bookmarkStart w:id="69"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Endnutzer*innen): IT-Lösungen werden oft vom Management eingekauft. Der Mehrwert und die Änderungen für Mitarbeitende und Nutzer*innen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Multiplikator*innen und bestehenden Kanälen: Eigene Change Netzwerke oder bestehende Netzwerke wie Assistent*innen,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8">
        <w:r>
          <w:rPr>
            <w:rStyle w:val="Hyperlink"/>
          </w:rPr>
          <w:t xml:space="preserve">Kommunikation in SAP Change Management Projekten</w:t>
        </w:r>
      </w:hyperlink>
      <w:hyperlink r:id="rId68">
        <w:r>
          <w:rPr>
            <w:rStyle w:val="Hyperlink"/>
          </w:rPr>
          <w:t xml:space="preserve">-</w:t>
        </w:r>
      </w:hyperlink>
      <w:r>
        <w:t xml:space="preserve"> </w:t>
      </w:r>
      <w:hyperlink r:id="rId68">
        <w:r>
          <w:rPr>
            <w:rStyle w:val="Hyperlink"/>
          </w:rPr>
          <w:t xml:space="preserve">Kaffe</w:t>
        </w:r>
      </w:hyperlink>
      <w:r>
        <w:t xml:space="preserve">e</w:t>
      </w:r>
      <w:hyperlink r:id="rId68">
        <w:r>
          <w:rPr>
            <w:rStyle w:val="Hyperlink"/>
          </w:rPr>
          <w:t xml:space="preserve">-</w:t>
        </w:r>
      </w:hyperlink>
      <w:hyperlink r:id="rId68">
        <w:r>
          <w:rPr>
            <w:rStyle w:val="Hyperlink"/>
          </w:rPr>
          <w:t xml:space="preserve">Ecken Recap</w:t>
        </w:r>
      </w:hyperlink>
    </w:p>
    <w:bookmarkEnd w:id="69"/>
    <w:bookmarkEnd w:id="70"/>
    <w:bookmarkStart w:id="82"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1"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1"/>
    <w:bookmarkStart w:id="73"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2">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Expert*innen – das ist meist zu viel und komplex.</w:t>
      </w:r>
      <w:r>
        <w:br/>
      </w:r>
    </w:p>
    <w:p>
      <w:pPr>
        <w:pStyle w:val="Compact"/>
        <w:numPr>
          <w:ilvl w:val="0"/>
          <w:numId w:val="1025"/>
        </w:numPr>
      </w:pPr>
      <w:r>
        <w:t xml:space="preserve">Ob bei Design oder Evaluation: achtet auf den Transfer in den Arbeitsalltag.</w:t>
      </w:r>
    </w:p>
    <w:bookmarkEnd w:id="73"/>
    <w:bookmarkStart w:id="74"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4"/>
    <w:bookmarkStart w:id="81"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5">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6">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7">
        <w:r>
          <w:rPr>
            <w:rStyle w:val="Hyperlink"/>
          </w:rPr>
          <w:t xml:space="preserve">DigiComp  </w:t>
        </w:r>
      </w:hyperlink>
      <w:r>
        <w:t xml:space="preserve">sowie die europäische Skill &amp; Job Datenbank</w:t>
      </w:r>
      <w:r>
        <w:t xml:space="preserve"> </w:t>
      </w:r>
      <w:hyperlink r:id="rId78">
        <w:r>
          <w:rPr>
            <w:rStyle w:val="Hyperlink"/>
          </w:rPr>
          <w:t xml:space="preserve">ESCO</w:t>
        </w:r>
      </w:hyperlink>
      <w:r>
        <w:t xml:space="preserve"> </w:t>
      </w:r>
      <w:r>
        <w:t xml:space="preserve">als Anker interessant.</w:t>
      </w:r>
    </w:p>
    <w:p>
      <w:pPr>
        <w:pStyle w:val="Compact"/>
        <w:numPr>
          <w:ilvl w:val="0"/>
          <w:numId w:val="1028"/>
        </w:numPr>
      </w:pPr>
      <w:hyperlink r:id="rId79">
        <w:r>
          <w:rPr>
            <w:rStyle w:val="Hyperlink"/>
          </w:rPr>
          <w:t xml:space="preserve">Learning Design Canvas vom internen SAP Learning Team</w:t>
        </w:r>
      </w:hyperlink>
    </w:p>
    <w:p>
      <w:pPr>
        <w:pStyle w:val="Compact"/>
        <w:numPr>
          <w:ilvl w:val="0"/>
          <w:numId w:val="1028"/>
        </w:numPr>
      </w:pPr>
      <w:hyperlink r:id="rId80">
        <w:r>
          <w:rPr>
            <w:rStyle w:val="Hyperlink"/>
          </w:rPr>
          <w:t xml:space="preserve">Generative Künstliche Intelligenz im Corporate Learning: Use Cases, Beispiele und Tips - Artikel von T. Jenewein</w:t>
        </w:r>
      </w:hyperlink>
      <w:r>
        <w:t xml:space="preserve">/&gt;</w:t>
      </w:r>
    </w:p>
    <w:bookmarkEnd w:id="81"/>
    <w:bookmarkEnd w:id="82"/>
    <w:bookmarkStart w:id="98" w:name="communities-im-change-management"/>
    <w:p>
      <w:pPr>
        <w:pStyle w:val="Heading2"/>
      </w:pPr>
      <w:r>
        <w:rPr>
          <w:rStyle w:val="SectionNumber"/>
        </w:rPr>
        <w:t xml:space="preserve">4.5</w:t>
      </w:r>
      <w:r>
        <w:tab/>
      </w:r>
      <w:r>
        <w:t xml:space="preserve">Communities im Change-Management</w:t>
      </w:r>
    </w:p>
    <w:bookmarkStart w:id="83"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Mitglieder*innen lernen voneinander, experimentieren mit Anwendungsfällen zur Nutzung der neuen Technologien / Systeme und generieren eigene Ideen zur Weiterentwicklung dieser Themen.</w:t>
      </w:r>
    </w:p>
    <w:bookmarkEnd w:id="83"/>
    <w:bookmarkStart w:id="84"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Change-Sponsor*innen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Mitglieder*innen sind oft intrinsisch motivierte Individuen, die als Change Agents fungieren und als Ansprechpartner*innen und Mentor*innen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Mitglieder*innen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Mitglieder*innen in der Lage sind, effektiv auf Veränderungen zu reagieren.</w:t>
      </w:r>
    </w:p>
    <w:bookmarkEnd w:id="84"/>
    <w:bookmarkStart w:id="85"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5"/>
    <w:bookmarkStart w:id="86"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Mitglieder*innen.</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Manager*innen oder Moderator*innen, helfen, das Engagement zu fördern.</w:t>
      </w:r>
    </w:p>
    <w:p>
      <w:pPr>
        <w:pStyle w:val="Compact"/>
        <w:numPr>
          <w:ilvl w:val="0"/>
          <w:numId w:val="1031"/>
        </w:numPr>
      </w:pPr>
      <w:r>
        <w:t xml:space="preserve">Wissensmanagement und Dokumentation: Effektive Communities dokumentieren relevante Informationen und machen sie für die Mitglieder*innen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Mitglieder*innen.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Mitglieder*innen und den Mehrwert der Community.</w:t>
      </w:r>
    </w:p>
    <w:bookmarkEnd w:id="86"/>
    <w:bookmarkStart w:id="97"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7">
        <w:r>
          <w:rPr>
            <w:rStyle w:val="Hyperlink"/>
          </w:rPr>
          <w:t xml:space="preserve">Community Gruppe auf LinkedIn von SAP zu Change Management</w:t>
        </w:r>
      </w:hyperlink>
      <w:hyperlink r:id="rId88"/>
      <w:hyperlink r:id="rId88">
        <w:r>
          <w:rPr>
            <w:rStyle w:val="Hyperlink"/>
          </w:rPr>
          <w:t xml:space="preserve">–</w:t>
        </w:r>
      </w:hyperlink>
      <w:r>
        <w:t xml:space="preserve"> </w:t>
      </w:r>
      <w:r>
        <w:t xml:space="preserve">kommt dazu bei Interesse!</w:t>
      </w:r>
    </w:p>
    <w:p>
      <w:pPr>
        <w:pStyle w:val="Compact"/>
        <w:numPr>
          <w:ilvl w:val="0"/>
          <w:numId w:val="1033"/>
        </w:numPr>
      </w:pPr>
      <w:hyperlink r:id="rId88">
        <w:r>
          <w:rPr>
            <w:rStyle w:val="Hyperlink"/>
          </w:rPr>
          <w:t xml:space="preserve">Kaffee</w:t>
        </w:r>
      </w:hyperlink>
      <w:hyperlink r:id="rId88">
        <w:r>
          <w:rPr>
            <w:rStyle w:val="Hyperlink"/>
          </w:rPr>
          <w:t xml:space="preserve">-</w:t>
        </w:r>
      </w:hyperlink>
      <w:hyperlink r:id="rId88">
        <w:r>
          <w:rPr>
            <w:rStyle w:val="Hyperlink"/>
          </w:rPr>
          <w:t xml:space="preserve">Ecke (AMA) zu Change Themen</w:t>
        </w:r>
      </w:hyperlink>
      <w:hyperlink r:id="rId88"/>
      <w:r>
        <w:br/>
      </w:r>
    </w:p>
    <w:p>
      <w:pPr>
        <w:pStyle w:val="Compact"/>
        <w:numPr>
          <w:ilvl w:val="0"/>
          <w:numId w:val="1033"/>
        </w:numPr>
      </w:pPr>
      <w:hyperlink r:id="rId89">
        <w:r>
          <w:rPr>
            <w:rStyle w:val="Hyperlink"/>
          </w:rPr>
          <w:t xml:space="preserve">Blog zu Engagement in Communities</w:t>
        </w:r>
      </w:hyperlink>
      <w:hyperlink r:id="rId89"/>
    </w:p>
    <w:p>
      <w:pPr>
        <w:pStyle w:val="Compact"/>
        <w:numPr>
          <w:ilvl w:val="0"/>
          <w:numId w:val="1033"/>
        </w:numPr>
      </w:pPr>
      <w:hyperlink r:id="rId90">
        <w:r>
          <w:rPr>
            <w:rStyle w:val="Hyperlink"/>
          </w:rPr>
          <w:t xml:space="preserve">lernOS Leitfaden für Community Management</w:t>
        </w:r>
      </w:hyperlink>
    </w:p>
    <w:p>
      <w:pPr>
        <w:pStyle w:val="Compact"/>
        <w:numPr>
          <w:ilvl w:val="0"/>
          <w:numId w:val="1033"/>
        </w:numPr>
      </w:pPr>
      <w:hyperlink r:id="rId91">
        <w:r>
          <w:rPr>
            <w:rStyle w:val="Hyperlink"/>
          </w:rPr>
          <w:t xml:space="preserve">Website zu Communities</w:t>
        </w:r>
      </w:hyperlink>
      <w:r>
        <w:t xml:space="preserve"> </w:t>
      </w:r>
      <w:r>
        <w:t xml:space="preserve">(Tanja Laub)</w:t>
      </w:r>
    </w:p>
    <w:p>
      <w:pPr>
        <w:pStyle w:val="Compact"/>
        <w:numPr>
          <w:ilvl w:val="0"/>
          <w:numId w:val="1033"/>
        </w:numPr>
      </w:pPr>
      <w:hyperlink r:id="rId92">
        <w:r>
          <w:rPr>
            <w:rStyle w:val="Hyperlink"/>
          </w:rPr>
          <w:t xml:space="preserve">Community Management Studien, Trends und Konferenzen</w:t>
        </w:r>
      </w:hyperlink>
    </w:p>
    <w:p>
      <w:pPr>
        <w:pStyle w:val="Compact"/>
        <w:numPr>
          <w:ilvl w:val="0"/>
          <w:numId w:val="1033"/>
        </w:numPr>
      </w:pPr>
      <w:hyperlink r:id="rId93">
        <w:r>
          <w:rPr>
            <w:rStyle w:val="Hyperlink"/>
          </w:rPr>
          <w:t xml:space="preserve">The Community Roundtable</w:t>
        </w:r>
      </w:hyperlink>
    </w:p>
    <w:p>
      <w:pPr>
        <w:pStyle w:val="Compact"/>
        <w:numPr>
          <w:ilvl w:val="0"/>
          <w:numId w:val="1033"/>
        </w:numPr>
      </w:pPr>
      <w:hyperlink r:id="rId94">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5">
        <w:r>
          <w:rPr>
            <w:rStyle w:val="Hyperlink"/>
          </w:rPr>
          <w:t xml:space="preserve">Social Media Adoption</w:t>
        </w:r>
      </w:hyperlink>
      <w:hyperlink r:id="rId95">
        <w:r>
          <w:rPr>
            <w:rStyle w:val="Hyperlink"/>
          </w:rPr>
          <w:t xml:space="preserve">-</w:t>
        </w:r>
      </w:hyperlink>
      <w:r>
        <w:t xml:space="preserve"> </w:t>
      </w:r>
      <w:hyperlink r:id="rId95">
        <w:r>
          <w:rPr>
            <w:rStyle w:val="Hyperlink"/>
          </w:rPr>
          <w:t xml:space="preserve">the GUIDE concept » Harald</w:t>
        </w:r>
      </w:hyperlink>
      <w:hyperlink r:id="rId95">
        <w:r>
          <w:rPr>
            <w:rStyle w:val="Hyperlink"/>
          </w:rPr>
          <w:t xml:space="preserve">-</w:t>
        </w:r>
      </w:hyperlink>
      <w:hyperlink r:id="rId95">
        <w:r>
          <w:rPr>
            <w:rStyle w:val="Hyperlink"/>
          </w:rPr>
          <w:t xml:space="preserve">Schirmer.de</w:t>
        </w:r>
      </w:hyperlink>
    </w:p>
    <w:p>
      <w:pPr>
        <w:pStyle w:val="Compact"/>
        <w:numPr>
          <w:ilvl w:val="0"/>
          <w:numId w:val="1034"/>
        </w:numPr>
      </w:pPr>
      <w:hyperlink r:id="rId96">
        <w:r>
          <w:rPr>
            <w:rStyle w:val="Hyperlink"/>
          </w:rPr>
          <w:t xml:space="preserve">Lessons learned from Social Media Implementation » Harald</w:t>
        </w:r>
      </w:hyperlink>
      <w:hyperlink r:id="rId96">
        <w:r>
          <w:rPr>
            <w:rStyle w:val="Hyperlink"/>
          </w:rPr>
          <w:t xml:space="preserve">-</w:t>
        </w:r>
      </w:hyperlink>
      <w:hyperlink r:id="rId96">
        <w:r>
          <w:rPr>
            <w:rStyle w:val="Hyperlink"/>
          </w:rPr>
          <w:t xml:space="preserve">Schirmer.de</w:t>
        </w:r>
      </w:hyperlink>
    </w:p>
    <w:bookmarkEnd w:id="97"/>
    <w:bookmarkEnd w:id="98"/>
    <w:bookmarkStart w:id="104"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9"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9"/>
    <w:bookmarkStart w:id="100"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Expert*innen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Nutzer*innen. Toolseitig kann dies effektiv durch Prozess-Management Software wie SAP Signavio unterstützt werden.</w:t>
      </w:r>
    </w:p>
    <w:bookmarkEnd w:id="100"/>
    <w:bookmarkStart w:id="103"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Key-User*innen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1">
        <w:r>
          <w:rPr>
            <w:rStyle w:val="Hyperlink"/>
          </w:rPr>
          <w:t xml:space="preserve">Change Readiness</w:t>
        </w:r>
      </w:hyperlink>
    </w:p>
    <w:p>
      <w:pPr>
        <w:pStyle w:val="Compact"/>
        <w:numPr>
          <w:ilvl w:val="0"/>
          <w:numId w:val="1040"/>
        </w:numPr>
      </w:pPr>
      <w:hyperlink r:id="rId102">
        <w:r>
          <w:rPr>
            <w:rStyle w:val="Hyperlink"/>
          </w:rPr>
          <w:t xml:space="preserve">Change Readiness Analysen in Wissenschaft und SAP-Praxis</w:t>
        </w:r>
      </w:hyperlink>
    </w:p>
    <w:bookmarkEnd w:id="103"/>
    <w:bookmarkEnd w:id="104"/>
    <w:bookmarkStart w:id="105"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5"/>
    <w:bookmarkStart w:id="109"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6">
        <w:r>
          <w:rPr>
            <w:rStyle w:val="Hyperlink"/>
          </w:rPr>
          <w:t xml:space="preserve">Veränderung von Organisationen</w:t>
        </w:r>
      </w:hyperlink>
      <w:r>
        <w:t xml:space="preserve"> </w:t>
      </w:r>
      <w:r>
        <w:t xml:space="preserve">sowie</w:t>
      </w:r>
      <w:r>
        <w:t xml:space="preserve"> </w:t>
      </w:r>
      <w:hyperlink r:id="rId107">
        <w:r>
          <w:rPr>
            <w:rStyle w:val="Hyperlink"/>
          </w:rPr>
          <w:t xml:space="preserve">Eine Lernende Organisation kultivieren</w:t>
        </w:r>
      </w:hyperlink>
    </w:p>
    <w:p>
      <w:pPr>
        <w:pStyle w:val="Compact"/>
        <w:numPr>
          <w:ilvl w:val="0"/>
          <w:numId w:val="1042"/>
        </w:numPr>
      </w:pPr>
      <w:hyperlink r:id="rId108">
        <w:r>
          <w:rPr>
            <w:rStyle w:val="Hyperlink"/>
          </w:rPr>
          <w:t xml:space="preserve">Quelle: e-Book Restrukturierung</w:t>
        </w:r>
      </w:hyperlink>
    </w:p>
    <w:bookmarkEnd w:id="109"/>
    <w:bookmarkEnd w:id="110"/>
    <w:bookmarkStart w:id="126" w:name="lernpfad"/>
    <w:p>
      <w:pPr>
        <w:pStyle w:val="Heading1"/>
      </w:pPr>
      <w:r>
        <w:rPr>
          <w:rStyle w:val="SectionNumber"/>
        </w:rPr>
        <w:t xml:space="preserve">5</w:t>
      </w:r>
      <w:r>
        <w:tab/>
      </w:r>
      <w:r>
        <w:t xml:space="preserve">Lernpfad</w:t>
      </w:r>
    </w:p>
    <w:bookmarkStart w:id="114"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1">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2">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13">
        <w:r>
          <w:rPr>
            <w:rStyle w:val="Hyperlink"/>
          </w:rPr>
          <w:t xml:space="preserve">https://cogneon.github.io/lernos/de/learning</w:t>
        </w:r>
      </w:hyperlink>
      <w:hyperlink r:id="rId113">
        <w:r>
          <w:rPr>
            <w:rStyle w:val="Hyperlink"/>
          </w:rPr>
          <w:t xml:space="preserve">-</w:t>
        </w:r>
      </w:hyperlink>
      <w:hyperlink r:id="rId113">
        <w:r>
          <w:rPr>
            <w:rStyle w:val="Hyperlink"/>
          </w:rPr>
          <w:t xml:space="preserve">circle/</w:t>
        </w:r>
      </w:hyperlink>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4"/>
    <w:bookmarkStart w:id="115"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5"/>
    <w:bookmarkStart w:id="116"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6"/>
    <w:bookmarkStart w:id="117"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7"/>
    <w:bookmarkStart w:id="118"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18"/>
    <w:bookmarkStart w:id="119"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hast Du gelernt? Welche Erkenntnisse hast Du gewonnen?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19"/>
    <w:bookmarkStart w:id="120"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20"/>
    <w:bookmarkStart w:id="121"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21"/>
    <w:bookmarkStart w:id="122"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22"/>
    <w:bookmarkStart w:id="123"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3"/>
    <w:bookmarkStart w:id="124"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4"/>
    <w:bookmarkStart w:id="125"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5"/>
    <w:bookmarkEnd w:id="126"/>
    <w:bookmarkStart w:id="130" w:name="anhang"/>
    <w:p>
      <w:pPr>
        <w:pStyle w:val="Heading1"/>
      </w:pPr>
      <w:r>
        <w:rPr>
          <w:rStyle w:val="SectionNumber"/>
        </w:rPr>
        <w:t xml:space="preserve">6</w:t>
      </w:r>
      <w:r>
        <w:tab/>
      </w:r>
      <w:r>
        <w:t xml:space="preserve">Anhang</w:t>
      </w:r>
    </w:p>
    <w:bookmarkStart w:id="127"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7"/>
    <w:bookmarkStart w:id="128"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8"/>
    <w:bookmarkStart w:id="129"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9"/>
    <w:bookmarkEnd w:id="1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36" Target="https://blogs.sap.com/2022/10/31/vorgehensmodelle-im-change-management/" TargetMode="External" /><Relationship Type="http://schemas.openxmlformats.org/officeDocument/2006/relationships/hyperlink" Id="rId57"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4"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113" Target="https://cogneon.github.io/lernos/de/learning-circle/"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8" Target="https://community.sap.com/t5/sap-training-and-change-management/kommunikation-in-sap-change-management-projekten-kaffe-ecken-recap/ba-p/297108" TargetMode="External" /><Relationship Type="http://schemas.openxmlformats.org/officeDocument/2006/relationships/hyperlink" Id="rId59"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42" Target="https://de.wikipedia.org/wiki/Projekt" TargetMode="External" /><Relationship Type="http://schemas.openxmlformats.org/officeDocument/2006/relationships/hyperlink" Id="rId44" Target="https://de.wikipedia.org/wiki/Projektleiter" TargetMode="External" /><Relationship Type="http://schemas.openxmlformats.org/officeDocument/2006/relationships/hyperlink" Id="rId43" Target="https://de.wikipedia.org/wiki/Projektmanagement" TargetMode="External" /><Relationship Type="http://schemas.openxmlformats.org/officeDocument/2006/relationships/hyperlink" Id="rId41"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8"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5"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37" Target="https://metatheorie-der-veraenderung.info/" TargetMode="External" /><Relationship Type="http://schemas.openxmlformats.org/officeDocument/2006/relationships/hyperlink" Id="rId19"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1"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52" Target="https://www.prosci.com/de/blog/clarc-die-rolle-von-personalmanagern-im-change-management" TargetMode="External" /><Relationship Type="http://schemas.openxmlformats.org/officeDocument/2006/relationships/hyperlink" Id="rId32"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36" Target="https://blogs.sap.com/2022/10/31/vorgehensmodelle-im-change-management/" TargetMode="External" /><Relationship Type="http://schemas.openxmlformats.org/officeDocument/2006/relationships/hyperlink" Id="rId57"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4"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113" Target="https://cogneon.github.io/lernos/de/learning-circle/"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8" Target="https://community.sap.com/t5/sap-training-and-change-management/kommunikation-in-sap-change-management-projekten-kaffe-ecken-recap/ba-p/297108" TargetMode="External" /><Relationship Type="http://schemas.openxmlformats.org/officeDocument/2006/relationships/hyperlink" Id="rId59"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42" Target="https://de.wikipedia.org/wiki/Projekt" TargetMode="External" /><Relationship Type="http://schemas.openxmlformats.org/officeDocument/2006/relationships/hyperlink" Id="rId44" Target="https://de.wikipedia.org/wiki/Projektleiter" TargetMode="External" /><Relationship Type="http://schemas.openxmlformats.org/officeDocument/2006/relationships/hyperlink" Id="rId43" Target="https://de.wikipedia.org/wiki/Projektmanagement" TargetMode="External" /><Relationship Type="http://schemas.openxmlformats.org/officeDocument/2006/relationships/hyperlink" Id="rId41"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8"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5"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37" Target="https://metatheorie-der-veraenderung.info/" TargetMode="External" /><Relationship Type="http://schemas.openxmlformats.org/officeDocument/2006/relationships/hyperlink" Id="rId19"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1"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52" Target="https://www.prosci.com/de/blog/clarc-die-rolle-von-personalmanagern-im-change-management" TargetMode="External" /><Relationship Type="http://schemas.openxmlformats.org/officeDocument/2006/relationships/hyperlink" Id="rId32"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2025-09-22T17:43:01Z</dcterms:created>
  <dcterms:modified xsi:type="dcterms:W3CDTF">2025-09-22T17:43:01Z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