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p>
    <w:p>
      <w:pPr>
        <w:pStyle w:val="Compact"/>
        <w:numPr>
          <w:ilvl w:val="1"/>
          <w:numId w:val="1006"/>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Das Pinguin Prinzip (John P. Kotter): einfach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Mitarbeitendenkosten)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 innen</w:t>
      </w:r>
    </w:p>
    <w:p>
      <w:pPr>
        <w:pStyle w:val="Compact"/>
        <w:numPr>
          <w:ilvl w:val="0"/>
          <w:numId w:val="1007"/>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9"/>
        </w:numPr>
      </w:pPr>
      <w:r>
        <w:t xml:space="preserve">von allen Mitarbeitenden als Vertrauensperson und lokale r Ansprechpartner 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 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10"/>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10"/>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Mitarbeitenden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Mitarbeitende durch den Change helfen, bzw. coachen</w:t>
      </w:r>
    </w:p>
    <w:p>
      <w:pPr>
        <w:pStyle w:val="Compact"/>
        <w:numPr>
          <w:ilvl w:val="0"/>
          <w:numId w:val="1011"/>
        </w:numPr>
      </w:pPr>
      <w:r>
        <w:t xml:space="preserve">Verbindung zwischen ihren Mitarbeitenden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3"/>
        </w:numPr>
      </w:pPr>
      <w:hyperlink r:id="rId50">
        <w:r>
          <w:rPr>
            <w:rStyle w:val="Hyperlink"/>
          </w:rPr>
          <w:t xml:space="preserve">Rollen und Verantwortlichkeiten im Änderungsmanagement | Atlassian</w:t>
        </w:r>
      </w:hyperlink>
    </w:p>
    <w:p>
      <w:pPr>
        <w:pStyle w:val="Compact"/>
        <w:numPr>
          <w:ilvl w:val="0"/>
          <w:numId w:val="1013"/>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inkl.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7"/>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8"/>
        </w:numPr>
      </w:pPr>
      <w:r>
        <w:t xml:space="preserve">gesagt ist nicht gehört</w:t>
      </w:r>
    </w:p>
    <w:p>
      <w:pPr>
        <w:pStyle w:val="Compact"/>
        <w:numPr>
          <w:ilvl w:val="0"/>
          <w:numId w:val="1018"/>
        </w:numPr>
      </w:pPr>
      <w:r>
        <w:t xml:space="preserve">gehört ist nicht verstanden</w:t>
      </w:r>
    </w:p>
    <w:p>
      <w:pPr>
        <w:pStyle w:val="Compact"/>
        <w:numPr>
          <w:ilvl w:val="0"/>
          <w:numId w:val="1018"/>
        </w:numPr>
      </w:pPr>
      <w:r>
        <w:t xml:space="preserve">verstanden ist nicht gekonnt</w:t>
      </w:r>
    </w:p>
    <w:p>
      <w:pPr>
        <w:pStyle w:val="Compact"/>
        <w:numPr>
          <w:ilvl w:val="0"/>
          <w:numId w:val="1018"/>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9"/>
        </w:numPr>
      </w:pPr>
      <w:r>
        <w:t xml:space="preserve">Definiere die Ziele der Kommunikation.</w:t>
      </w:r>
    </w:p>
    <w:p>
      <w:pPr>
        <w:pStyle w:val="Compact"/>
        <w:numPr>
          <w:ilvl w:val="0"/>
          <w:numId w:val="1019"/>
        </w:numPr>
      </w:pPr>
      <w:r>
        <w:t xml:space="preserve">Bestimme, wer die Hauptzielgruppen sind – IT-Teams, Abteilungsleiter, Endnuser usw. Jede Gruppe hat unterschiedliche Informationsbedürfnisse.</w:t>
      </w:r>
    </w:p>
    <w:p>
      <w:pPr>
        <w:pStyle w:val="Compact"/>
        <w:numPr>
          <w:ilvl w:val="0"/>
          <w:numId w:val="1019"/>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9"/>
        </w:numPr>
      </w:pPr>
      <w:r>
        <w:t xml:space="preserve">Erstelle eine Liste mit den Informationen, die kommuniziert werden müssen. Das kann den Projektfortschritt, Meilensteine, Zeitpläne, Risiken und Änderungen beinhalten.</w:t>
      </w:r>
    </w:p>
    <w:p>
      <w:pPr>
        <w:pStyle w:val="Compact"/>
        <w:numPr>
          <w:ilvl w:val="0"/>
          <w:numId w:val="1019"/>
        </w:numPr>
      </w:pPr>
      <w:r>
        <w:t xml:space="preserve">Entwickle einen Zeitplan, der angibt, wann und wie oft du mit den verschiedenen Zielgruppen kommunizieren wirst. Berücksichtige auch dringende oder regelmäßige Updates.</w:t>
      </w:r>
    </w:p>
    <w:p>
      <w:pPr>
        <w:pStyle w:val="Compact"/>
        <w:numPr>
          <w:ilvl w:val="0"/>
          <w:numId w:val="1019"/>
        </w:numPr>
      </w:pPr>
      <w:r>
        <w:t xml:space="preserve">Weise Verantwortlichkeiten für die Kommunikation klar zu. Wer wird welche Nachrichten verfassen, genehmigen, senden und überwachen?</w:t>
      </w:r>
    </w:p>
    <w:p>
      <w:pPr>
        <w:pStyle w:val="Compact"/>
        <w:numPr>
          <w:ilvl w:val="0"/>
          <w:numId w:val="1019"/>
        </w:numPr>
      </w:pPr>
      <w:r>
        <w:t xml:space="preserve">Richte Möglichkeiten ein, Feedback von den Mitarbeitenden zu erhalten. Das kann durch Umfragen, offene Diskussionen oder Feedback-Sessions erfolgen.</w:t>
      </w:r>
    </w:p>
    <w:p>
      <w:pPr>
        <w:pStyle w:val="Compact"/>
        <w:numPr>
          <w:ilvl w:val="0"/>
          <w:numId w:val="1019"/>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20"/>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20"/>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20"/>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20"/>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20"/>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1"/>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1"/>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1"/>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1"/>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2"/>
        </w:numPr>
      </w:pPr>
      <w:r>
        <w:t xml:space="preserve">Emotionale Verbindung: Wenn Mitarbeitende sich mit einer Geschichte identifizieren können, wird der Wandel persönlicher und bedeutungsvoller für sie.</w:t>
      </w:r>
    </w:p>
    <w:p>
      <w:pPr>
        <w:pStyle w:val="Compact"/>
        <w:numPr>
          <w:ilvl w:val="0"/>
          <w:numId w:val="1022"/>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2"/>
        </w:numPr>
      </w:pPr>
      <w:r>
        <w:t xml:space="preserve">Motivation und Inspiration: Geschichten zeigen, dass Veränderungen möglich sind und Erfolg bringen können.</w:t>
      </w:r>
    </w:p>
    <w:p>
      <w:pPr>
        <w:pStyle w:val="Compact"/>
        <w:numPr>
          <w:ilvl w:val="0"/>
          <w:numId w:val="1022"/>
        </w:numPr>
      </w:pPr>
      <w:r>
        <w:t xml:space="preserve">Kulturelle Ausrichtung: Vermittlung der Unternehmenskultur und Werte, sowie wie die neuen Werte im Kontext des Wandels gelebt werden können.</w:t>
      </w:r>
    </w:p>
    <w:p>
      <w:pPr>
        <w:pStyle w:val="Compact"/>
        <w:numPr>
          <w:ilvl w:val="0"/>
          <w:numId w:val="1022"/>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3"/>
        </w:numPr>
      </w:pPr>
      <w:r>
        <w:t xml:space="preserve">Relevanz und Authentizität</w:t>
      </w:r>
    </w:p>
    <w:p>
      <w:pPr>
        <w:pStyle w:val="Compact"/>
        <w:numPr>
          <w:ilvl w:val="0"/>
          <w:numId w:val="1023"/>
        </w:numPr>
      </w:pPr>
      <w:r>
        <w:t xml:space="preserve">Klare Botschaft und Zielsetzung - warum ist der Wandel wichtig und welche Vorteile bringt er.</w:t>
      </w:r>
    </w:p>
    <w:p>
      <w:pPr>
        <w:pStyle w:val="Compact"/>
        <w:numPr>
          <w:ilvl w:val="0"/>
          <w:numId w:val="1023"/>
        </w:numPr>
      </w:pPr>
      <w:r>
        <w:t xml:space="preserve">Einbeziehung der Zuhörenden inkl. der Ermutigung, sich in die Geschichte hineinzuversetzen oder sich mit Charakteren zu identifizieren.</w:t>
      </w:r>
    </w:p>
    <w:p>
      <w:pPr>
        <w:pStyle w:val="Compact"/>
        <w:numPr>
          <w:ilvl w:val="0"/>
          <w:numId w:val="1023"/>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4"/>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4"/>
        </w:numPr>
      </w:pPr>
      <w:r>
        <w:t xml:space="preserve">Vielfalt der Kanäle: Damit werden unterschiedliche Präferenzen angesprochen.</w:t>
      </w:r>
      <w:r>
        <w:br/>
      </w:r>
    </w:p>
    <w:p>
      <w:pPr>
        <w:pStyle w:val="Compact"/>
        <w:numPr>
          <w:ilvl w:val="0"/>
          <w:numId w:val="1024"/>
        </w:numPr>
      </w:pPr>
      <w:r>
        <w:t xml:space="preserve">Einbeziehung von Meinungen und Feedback: Das ist ein zentrales Element – ob in Diskussionsforen oder offenen Sprechstunden.</w:t>
      </w:r>
    </w:p>
    <w:p>
      <w:pPr>
        <w:pStyle w:val="Compact"/>
        <w:numPr>
          <w:ilvl w:val="0"/>
          <w:numId w:val="1024"/>
        </w:numPr>
      </w:pPr>
      <w:r>
        <w:t xml:space="preserve">Anpassung an Zielgruppen: Führungskräfte, Frontline-Mitarbeitende und verschiedene Abteilungen haben unterschiedliche Perspektiven und Bedürfnisse.</w:t>
      </w:r>
    </w:p>
    <w:p>
      <w:pPr>
        <w:pStyle w:val="Compact"/>
        <w:numPr>
          <w:ilvl w:val="0"/>
          <w:numId w:val="1024"/>
        </w:numPr>
      </w:pPr>
      <w:r>
        <w:t xml:space="preserve">Messbare Ziele und Fortschritt anzeigen: Visualisieren von Erfolgen und Meilensteinen, um das Engagement und die Motivation aufrechtzuerhalten.</w:t>
      </w:r>
    </w:p>
    <w:p>
      <w:pPr>
        <w:pStyle w:val="Compact"/>
        <w:numPr>
          <w:ilvl w:val="0"/>
          <w:numId w:val="1024"/>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4"/>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4"/>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5"/>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6"/>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6"/>
        </w:numPr>
      </w:pPr>
      <w:r>
        <w:t xml:space="preserve">Bei der Soll-Einschätzung: Fokus auf wirkliche geforderte Performance – nicht auf Top-Talents oder extreme Expert*innen – das ist meist zu viel und komplex.</w:t>
      </w:r>
      <w:r>
        <w:br/>
      </w:r>
    </w:p>
    <w:p>
      <w:pPr>
        <w:pStyle w:val="Compact"/>
        <w:numPr>
          <w:ilvl w:val="0"/>
          <w:numId w:val="1026"/>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7"/>
        </w:numPr>
      </w:pPr>
      <w:r>
        <w:t xml:space="preserve">Neues Wissen aneignen</w:t>
      </w:r>
      <w:r>
        <w:br/>
      </w:r>
    </w:p>
    <w:p>
      <w:pPr>
        <w:pStyle w:val="Compact"/>
        <w:numPr>
          <w:ilvl w:val="0"/>
          <w:numId w:val="1027"/>
        </w:numPr>
      </w:pPr>
      <w:r>
        <w:t xml:space="preserve">Wissen vertiefen</w:t>
      </w:r>
    </w:p>
    <w:p>
      <w:pPr>
        <w:pStyle w:val="Compact"/>
        <w:numPr>
          <w:ilvl w:val="0"/>
          <w:numId w:val="1027"/>
        </w:numPr>
      </w:pPr>
      <w:r>
        <w:t xml:space="preserve">Wissen anwenden</w:t>
      </w:r>
    </w:p>
    <w:p>
      <w:pPr>
        <w:pStyle w:val="Compact"/>
        <w:numPr>
          <w:ilvl w:val="0"/>
          <w:numId w:val="1027"/>
        </w:numPr>
      </w:pPr>
      <w:r>
        <w:t xml:space="preserve">Probleme bei der Anwendung lösen</w:t>
      </w:r>
    </w:p>
    <w:p>
      <w:pPr>
        <w:pStyle w:val="Compact"/>
        <w:numPr>
          <w:ilvl w:val="0"/>
          <w:numId w:val="1027"/>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8"/>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8"/>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8"/>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9"/>
        </w:numPr>
      </w:pPr>
      <w:hyperlink r:id="rId75">
        <w:r>
          <w:rPr>
            <w:rStyle w:val="Hyperlink"/>
          </w:rPr>
          <w:t xml:space="preserve">Austausch zu Lernen im Unternehmen: Corporate Learning Community </w:t>
        </w:r>
      </w:hyperlink>
    </w:p>
    <w:p>
      <w:pPr>
        <w:pStyle w:val="Compact"/>
        <w:numPr>
          <w:ilvl w:val="0"/>
          <w:numId w:val="1029"/>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9"/>
        </w:numPr>
      </w:pPr>
      <w:hyperlink r:id="rId78">
        <w:r>
          <w:rPr>
            <w:rStyle w:val="Hyperlink"/>
          </w:rPr>
          <w:t xml:space="preserve">Learning Design Canvas vom internen SAP Learning Team</w:t>
        </w:r>
      </w:hyperlink>
    </w:p>
    <w:p>
      <w:pPr>
        <w:pStyle w:val="Compact"/>
        <w:numPr>
          <w:ilvl w:val="0"/>
          <w:numId w:val="1029"/>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30"/>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30"/>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30"/>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30"/>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1"/>
        </w:numPr>
      </w:pPr>
      <w:r>
        <w:t xml:space="preserve">Virtuelle Communities: Nutzen digitale Plattformen für den Wissensaustausch über geografische Grenzen hinweg, ideal für global agierende Unternehmen oder Remote-Arbeit.</w:t>
      </w:r>
    </w:p>
    <w:p>
      <w:pPr>
        <w:pStyle w:val="Compact"/>
        <w:numPr>
          <w:ilvl w:val="0"/>
          <w:numId w:val="1031"/>
        </w:numPr>
      </w:pPr>
      <w:r>
        <w:t xml:space="preserve">Physische Communities: Treffen sich regelmäßig persönlich, um durch direkten Austausch und sozialen Zusammenhalt Veränderungen zu fördern.</w:t>
      </w:r>
    </w:p>
    <w:p>
      <w:pPr>
        <w:pStyle w:val="Compact"/>
        <w:numPr>
          <w:ilvl w:val="0"/>
          <w:numId w:val="1031"/>
        </w:numPr>
      </w:pPr>
      <w:r>
        <w:t xml:space="preserve">Hybride Communities: Kombinieren persönliche Treffen mit virtuellen Interaktionen, um eine breitere Teilnahme zu ermöglichen.</w:t>
      </w:r>
    </w:p>
    <w:p>
      <w:pPr>
        <w:pStyle w:val="Compact"/>
        <w:numPr>
          <w:ilvl w:val="0"/>
          <w:numId w:val="1031"/>
        </w:numPr>
      </w:pPr>
      <w:r>
        <w:t xml:space="preserve">Themenbasierte Communities: Fokussieren sich auf spezifische Aspekte wie „Digitale Transformation“ oder „Agiles Arbeiten“ und bieten eine Plattform für Expertenaustausch.</w:t>
      </w:r>
    </w:p>
    <w:p>
      <w:pPr>
        <w:pStyle w:val="Compact"/>
        <w:numPr>
          <w:ilvl w:val="0"/>
          <w:numId w:val="1031"/>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2"/>
        </w:numPr>
      </w:pPr>
      <w:r>
        <w:t xml:space="preserve">Regelmäßige Interaktion: Regelmäßige Treffen und Diskussionen fördern das Vertrauen und die Bindung der Mitglieder*innen.</w:t>
      </w:r>
    </w:p>
    <w:p>
      <w:pPr>
        <w:pStyle w:val="Compact"/>
        <w:numPr>
          <w:ilvl w:val="0"/>
          <w:numId w:val="1032"/>
        </w:numPr>
      </w:pPr>
      <w:r>
        <w:t xml:space="preserve">Klare Zielsetzungen und Vision: Eine klare Vision und spezifische Ziele leiten die Aktivitäten der Community und halten sie auf Kurs.</w:t>
      </w:r>
    </w:p>
    <w:p>
      <w:pPr>
        <w:pStyle w:val="Compact"/>
        <w:numPr>
          <w:ilvl w:val="0"/>
          <w:numId w:val="1032"/>
        </w:numPr>
      </w:pPr>
      <w:r>
        <w:t xml:space="preserve">Verantwortlichkeiten und Rollenverteilung: Klare Rollen, wie Community Manager*innen oder Moderator*innen, helfen, das Engagement zu fördern.</w:t>
      </w:r>
    </w:p>
    <w:p>
      <w:pPr>
        <w:pStyle w:val="Compact"/>
        <w:numPr>
          <w:ilvl w:val="0"/>
          <w:numId w:val="1032"/>
        </w:numPr>
      </w:pPr>
      <w:r>
        <w:t xml:space="preserve">Wissensmanagement und Dokumentation: Effektive Communities dokumentieren relevante Informationen und machen sie für die Mitglieder*innen zugänglich.</w:t>
      </w:r>
    </w:p>
    <w:p>
      <w:pPr>
        <w:pStyle w:val="Compact"/>
        <w:numPr>
          <w:ilvl w:val="0"/>
          <w:numId w:val="1032"/>
        </w:numPr>
      </w:pPr>
      <w:r>
        <w:t xml:space="preserve">Feedback- und Anpassungsmechanismen: Regelmäßige Feedback-Schleifen ermöglichen es, Prozesse zu überprüfen und anzupassen.</w:t>
      </w:r>
    </w:p>
    <w:p>
      <w:pPr>
        <w:pStyle w:val="Compact"/>
        <w:numPr>
          <w:ilvl w:val="0"/>
          <w:numId w:val="1032"/>
        </w:numPr>
      </w:pPr>
      <w:r>
        <w:t xml:space="preserve">Peer Learning und Mentoring: Fördert den Austausch von Wissen und Erfahrungen zwischen den Mitglieder*innen.</w:t>
      </w:r>
    </w:p>
    <w:p>
      <w:pPr>
        <w:pStyle w:val="Compact"/>
        <w:numPr>
          <w:ilvl w:val="0"/>
          <w:numId w:val="1032"/>
        </w:numPr>
      </w:pPr>
      <w:r>
        <w:t xml:space="preserve">Technische Infrastruktur: Die richtige technische Plattform ist entscheidend und sollte Tools für Kommunikation, Kollaboration und Wissensaustausch bieten.</w:t>
      </w:r>
    </w:p>
    <w:p>
      <w:pPr>
        <w:pStyle w:val="Compact"/>
        <w:numPr>
          <w:ilvl w:val="0"/>
          <w:numId w:val="1032"/>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3"/>
        </w:numPr>
      </w:pPr>
      <w:r>
        <w:t xml:space="preserve">Frühzeitiger Aufbau und Integration: Beginne frühzeitig mit dem Aufbau der Community und integriere sie in die Gesamtstrategie des Change-Prozesses.</w:t>
      </w:r>
    </w:p>
    <w:p>
      <w:pPr>
        <w:pStyle w:val="Compact"/>
        <w:numPr>
          <w:ilvl w:val="0"/>
          <w:numId w:val="1033"/>
        </w:numPr>
      </w:pPr>
      <w:r>
        <w:t xml:space="preserve">Pilotprojekte und schrittweises Wachstum: Starte mit kleineren Projekten, um die Community-Struktur zu testen und erste Erfolge zu erzielen.</w:t>
      </w:r>
    </w:p>
    <w:p>
      <w:pPr>
        <w:pStyle w:val="Compact"/>
        <w:numPr>
          <w:ilvl w:val="0"/>
          <w:numId w:val="1033"/>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4"/>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4"/>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4"/>
        </w:numPr>
      </w:pPr>
      <w:hyperlink r:id="rId88">
        <w:r>
          <w:rPr>
            <w:rStyle w:val="Hyperlink"/>
          </w:rPr>
          <w:t xml:space="preserve">Blog zu Engagement in Communities</w:t>
        </w:r>
      </w:hyperlink>
      <w:hyperlink r:id="rId88"/>
    </w:p>
    <w:p>
      <w:pPr>
        <w:pStyle w:val="Compact"/>
        <w:numPr>
          <w:ilvl w:val="0"/>
          <w:numId w:val="1034"/>
        </w:numPr>
      </w:pPr>
      <w:hyperlink r:id="rId89">
        <w:r>
          <w:rPr>
            <w:rStyle w:val="Hyperlink"/>
          </w:rPr>
          <w:t xml:space="preserve">lernOS Leitfaden für Community Management</w:t>
        </w:r>
      </w:hyperlink>
    </w:p>
    <w:p>
      <w:pPr>
        <w:pStyle w:val="Compact"/>
        <w:numPr>
          <w:ilvl w:val="0"/>
          <w:numId w:val="1034"/>
        </w:numPr>
      </w:pPr>
      <w:hyperlink r:id="rId90">
        <w:r>
          <w:rPr>
            <w:rStyle w:val="Hyperlink"/>
          </w:rPr>
          <w:t xml:space="preserve">Website zu Communities</w:t>
        </w:r>
      </w:hyperlink>
      <w:r>
        <w:t xml:space="preserve"> </w:t>
      </w:r>
      <w:r>
        <w:t xml:space="preserve">(Tanja Laub)</w:t>
      </w:r>
    </w:p>
    <w:p>
      <w:pPr>
        <w:pStyle w:val="Compact"/>
        <w:numPr>
          <w:ilvl w:val="0"/>
          <w:numId w:val="1034"/>
        </w:numPr>
      </w:pPr>
      <w:hyperlink r:id="rId91">
        <w:r>
          <w:rPr>
            <w:rStyle w:val="Hyperlink"/>
          </w:rPr>
          <w:t xml:space="preserve">Community Management Studien, Trends und Konferenzen</w:t>
        </w:r>
      </w:hyperlink>
    </w:p>
    <w:p>
      <w:pPr>
        <w:pStyle w:val="Compact"/>
        <w:numPr>
          <w:ilvl w:val="0"/>
          <w:numId w:val="1034"/>
        </w:numPr>
      </w:pPr>
      <w:hyperlink r:id="rId92">
        <w:r>
          <w:rPr>
            <w:rStyle w:val="Hyperlink"/>
          </w:rPr>
          <w:t xml:space="preserve">The Community Roundtable</w:t>
        </w:r>
      </w:hyperlink>
    </w:p>
    <w:p>
      <w:pPr>
        <w:pStyle w:val="Compact"/>
        <w:numPr>
          <w:ilvl w:val="0"/>
          <w:numId w:val="1034"/>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5"/>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5"/>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6"/>
        </w:numPr>
      </w:pPr>
      <w:r>
        <w:t xml:space="preserve">Analysen vor dem Projekt: Ist-Analyse, Readiness Analyse oder Bedarfsanalyse</w:t>
      </w:r>
    </w:p>
    <w:p>
      <w:pPr>
        <w:pStyle w:val="Compact"/>
        <w:numPr>
          <w:ilvl w:val="0"/>
          <w:numId w:val="1036"/>
        </w:numPr>
      </w:pPr>
      <w:r>
        <w:t xml:space="preserve">Analysen während des Projekts: z.B. Business/ Operational Readiness, Change Impact, Puls-Fühlen</w:t>
      </w:r>
    </w:p>
    <w:p>
      <w:pPr>
        <w:pStyle w:val="Compact"/>
        <w:numPr>
          <w:ilvl w:val="0"/>
          <w:numId w:val="1036"/>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7"/>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7"/>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7"/>
        </w:numPr>
      </w:pPr>
      <w:r>
        <w:t xml:space="preserve">Sie umfasst typischerweise Sentiments wie:</w:t>
      </w:r>
    </w:p>
    <w:p>
      <w:pPr>
        <w:pStyle w:val="Compact"/>
        <w:numPr>
          <w:ilvl w:val="1"/>
          <w:numId w:val="1038"/>
        </w:numPr>
      </w:pPr>
      <w:r>
        <w:rPr>
          <w:b/>
          <w:bCs/>
        </w:rPr>
        <w:t xml:space="preserve">Bewusstsein &amp; Awareness</w:t>
      </w:r>
      <w:r>
        <w:t xml:space="preserve">: Verstehen die Mitarbeitenden die Notwendigkeit der Veränderung?</w:t>
      </w:r>
    </w:p>
    <w:p>
      <w:pPr>
        <w:pStyle w:val="Compact"/>
        <w:numPr>
          <w:ilvl w:val="1"/>
          <w:numId w:val="1038"/>
        </w:numPr>
      </w:pPr>
      <w:r>
        <w:rPr>
          <w:b/>
          <w:bCs/>
        </w:rPr>
        <w:t xml:space="preserve">Verständnis</w:t>
      </w:r>
      <w:r>
        <w:t xml:space="preserve">: Haben sie ein klares Bild von den Veränderungen und ihrer Rolle dabei?</w:t>
      </w:r>
    </w:p>
    <w:p>
      <w:pPr>
        <w:pStyle w:val="Compact"/>
        <w:numPr>
          <w:ilvl w:val="1"/>
          <w:numId w:val="1038"/>
        </w:numPr>
      </w:pPr>
      <w:r>
        <w:rPr>
          <w:b/>
          <w:bCs/>
        </w:rPr>
        <w:t xml:space="preserve">Akzeptanz</w:t>
      </w:r>
      <w:r>
        <w:t xml:space="preserve">: Wird die Veränderung positiv bewertet und unterstützt?</w:t>
      </w:r>
    </w:p>
    <w:p>
      <w:pPr>
        <w:pStyle w:val="Compact"/>
        <w:numPr>
          <w:ilvl w:val="1"/>
          <w:numId w:val="1038"/>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8"/>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8"/>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9"/>
        </w:numPr>
      </w:pPr>
      <w:r>
        <w:t xml:space="preserve">Identifizieren der geplanten Änderungen: Was wird sich ändern? Wie wird sich das auf die bestehenden Systeme, Prozesse, Organisation und Menschen auswirken?</w:t>
      </w:r>
    </w:p>
    <w:p>
      <w:pPr>
        <w:pStyle w:val="Compact"/>
        <w:numPr>
          <w:ilvl w:val="0"/>
          <w:numId w:val="1039"/>
        </w:numPr>
      </w:pPr>
      <w:r>
        <w:t xml:space="preserve">Bewertung der Auswirkungen: Wie groß ist die Auswirkung jeder Änderung? Wer wird davon betroffen sein und in welchem Ausmaß?</w:t>
      </w:r>
    </w:p>
    <w:p>
      <w:pPr>
        <w:pStyle w:val="Compact"/>
        <w:numPr>
          <w:ilvl w:val="0"/>
          <w:numId w:val="1039"/>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40"/>
        </w:numPr>
      </w:pPr>
      <w:r>
        <w:t xml:space="preserve">Qualitative Methoden: Strukturierte oder teilstrukturierte Interviews, Workshops, offene Befragungen und Beobachtungen.</w:t>
      </w:r>
    </w:p>
    <w:p>
      <w:pPr>
        <w:pStyle w:val="Compact"/>
        <w:numPr>
          <w:ilvl w:val="0"/>
          <w:numId w:val="1040"/>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1"/>
        </w:numPr>
      </w:pPr>
      <w:hyperlink r:id="rId100">
        <w:r>
          <w:rPr>
            <w:rStyle w:val="Hyperlink"/>
          </w:rPr>
          <w:t xml:space="preserve">Change Readiness</w:t>
        </w:r>
      </w:hyperlink>
    </w:p>
    <w:p>
      <w:pPr>
        <w:pStyle w:val="Compact"/>
        <w:numPr>
          <w:ilvl w:val="0"/>
          <w:numId w:val="1041"/>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2"/>
        </w:numPr>
      </w:pPr>
      <w:r>
        <w:t xml:space="preserve">IT als Befähigerin des Business</w:t>
      </w:r>
    </w:p>
    <w:p>
      <w:pPr>
        <w:pStyle w:val="Compact"/>
        <w:numPr>
          <w:ilvl w:val="0"/>
          <w:numId w:val="1042"/>
        </w:numPr>
      </w:pPr>
      <w:r>
        <w:t xml:space="preserve">IT als Treiberin neuer Wertschöpfungspotenziale</w:t>
      </w:r>
    </w:p>
    <w:p>
      <w:pPr>
        <w:pStyle w:val="Compact"/>
        <w:numPr>
          <w:ilvl w:val="0"/>
          <w:numId w:val="1042"/>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3"/>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3"/>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4"/>
        </w:numPr>
      </w:pPr>
      <w:r>
        <w:t xml:space="preserve">Reflektiere, welche KPIs und Feedback Instrumente in Deinem Umfeld das Change-Management unterstützen</w:t>
      </w:r>
    </w:p>
    <w:p>
      <w:pPr>
        <w:pStyle w:val="Compact"/>
        <w:numPr>
          <w:ilvl w:val="0"/>
          <w:numId w:val="1044"/>
        </w:numPr>
      </w:pPr>
      <w:r>
        <w:t xml:space="preserve">Wie kannst Du Change Readiness Checks nutzen?</w:t>
      </w:r>
    </w:p>
    <w:p>
      <w:pPr>
        <w:pStyle w:val="Compact"/>
        <w:numPr>
          <w:ilvl w:val="0"/>
          <w:numId w:val="1044"/>
        </w:numPr>
      </w:pPr>
      <w:r>
        <w:t xml:space="preserve">Welche Rolle können Change Impact Analysen spielen?</w:t>
      </w:r>
    </w:p>
    <w:p>
      <w:pPr>
        <w:pStyle w:val="Compact"/>
        <w:numPr>
          <w:ilvl w:val="0"/>
          <w:numId w:val="1044"/>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5"/>
        </w:numPr>
      </w:pPr>
      <w:r>
        <w:t xml:space="preserve">Identifiziert ein aktuelles oder kürzlich abgeschlossenes und überlegt folgende Punkte:</w:t>
      </w:r>
    </w:p>
    <w:p>
      <w:pPr>
        <w:pStyle w:val="Compact"/>
        <w:numPr>
          <w:ilvl w:val="0"/>
          <w:numId w:val="1045"/>
        </w:numPr>
      </w:pPr>
      <w:r>
        <w:t xml:space="preserve">Welche organisatorischen Veränderungen waren notwendig? Wurden diese erfolgreich umgesetzt?</w:t>
      </w:r>
    </w:p>
    <w:p>
      <w:pPr>
        <w:pStyle w:val="Compact"/>
        <w:numPr>
          <w:ilvl w:val="0"/>
          <w:numId w:val="1045"/>
        </w:numPr>
      </w:pPr>
      <w:r>
        <w:t xml:space="preserve">Wie wurden neue Führungs- und Zusammenarbeitsmodelle integriert?</w:t>
      </w:r>
    </w:p>
    <w:p>
      <w:pPr>
        <w:pStyle w:val="Compact"/>
        <w:numPr>
          <w:ilvl w:val="0"/>
          <w:numId w:val="1045"/>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6"/>
        </w:numPr>
      </w:pPr>
      <w:r>
        <w:t xml:space="preserve">Identifiziert Beispiele für Scheins drei kulturelle Ebenen (Artefakte, bekundete Werte, grundlegende Annahmen) in Bezug auf IT und Digitalisierung in Eurem Unternehmen.</w:t>
      </w:r>
    </w:p>
    <w:p>
      <w:pPr>
        <w:pStyle w:val="Compact"/>
        <w:numPr>
          <w:ilvl w:val="0"/>
          <w:numId w:val="1046"/>
        </w:numPr>
      </w:pPr>
      <w:r>
        <w:t xml:space="preserve">Wie wird der Nutzen neuer IT-Systeme auf allen kulturellen Ebenen vermittelt?</w:t>
      </w:r>
    </w:p>
    <w:p>
      <w:pPr>
        <w:pStyle w:val="FirstParagraph"/>
      </w:pPr>
      <w:r>
        <w:t xml:space="preserve">Entwickelt einen Aktionsplan:</w:t>
      </w:r>
    </w:p>
    <w:p>
      <w:pPr>
        <w:pStyle w:val="Compact"/>
        <w:numPr>
          <w:ilvl w:val="0"/>
          <w:numId w:val="1047"/>
        </w:numPr>
      </w:pPr>
      <w:r>
        <w:t xml:space="preserve">Basierend auf Eurer Analyse, schlagt drei konkrete Maßnahmen vor, um organisatorische Veränderungen und Kulturwandel in IT-Projekten im Unternehmen zu verbessern.</w:t>
      </w:r>
    </w:p>
    <w:p>
      <w:pPr>
        <w:pStyle w:val="Compact"/>
        <w:numPr>
          <w:ilvl w:val="0"/>
          <w:numId w:val="1047"/>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8"/>
        </w:numPr>
      </w:pPr>
      <w:r>
        <w:t xml:space="preserve">Was nimmst Du als entscheidende Erfahrungen / Highlights aus den letzten Wochen mit?</w:t>
      </w:r>
    </w:p>
    <w:p>
      <w:pPr>
        <w:pStyle w:val="Compact"/>
        <w:numPr>
          <w:ilvl w:val="0"/>
          <w:numId w:val="1048"/>
        </w:numPr>
      </w:pPr>
      <w:r>
        <w:t xml:space="preserve">Was waren für Dich die wichtigsten Meilensteine / Entwicklungsschritte?</w:t>
      </w:r>
    </w:p>
    <w:p>
      <w:pPr>
        <w:pStyle w:val="Compact"/>
        <w:numPr>
          <w:ilvl w:val="0"/>
          <w:numId w:val="1048"/>
        </w:numPr>
      </w:pPr>
      <w:r>
        <w:t xml:space="preserve">Was hat Dir im Circle gefehlt oder ist zu kurz gekommen zum Thema Change Management?</w:t>
      </w:r>
    </w:p>
    <w:p>
      <w:pPr>
        <w:pStyle w:val="Compact"/>
        <w:numPr>
          <w:ilvl w:val="0"/>
          <w:numId w:val="1048"/>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9"/>
        </w:numPr>
      </w:pPr>
      <w:r>
        <w:t xml:space="preserve">Welche Rollen wie Change Manager, Change Agent, Führungskraft, Change-Projektmitglied hast Du bereits in Change-Prozessen übernommen, oder welche Rollen führst Du aktuell aus?</w:t>
      </w:r>
    </w:p>
    <w:p>
      <w:pPr>
        <w:pStyle w:val="Compact"/>
        <w:numPr>
          <w:ilvl w:val="0"/>
          <w:numId w:val="1049"/>
        </w:numPr>
      </w:pPr>
      <w:r>
        <w:t xml:space="preserve">Wie hast Du Deine Rolle im Change-Prozess wahrgenommen und welche Herausforderungen hast Du dabei erlebt?</w:t>
      </w:r>
    </w:p>
    <w:p>
      <w:pPr>
        <w:pStyle w:val="Compact"/>
        <w:numPr>
          <w:ilvl w:val="0"/>
          <w:numId w:val="1049"/>
        </w:numPr>
      </w:pPr>
      <w:r>
        <w:t xml:space="preserve">Welche Kenntnisse und Erfahrungen haben Dir bei Übernahme neuer Rollen und Aufgaben geholfen?</w:t>
      </w:r>
    </w:p>
    <w:p>
      <w:pPr>
        <w:pStyle w:val="Compact"/>
        <w:numPr>
          <w:ilvl w:val="0"/>
          <w:numId w:val="1049"/>
        </w:numPr>
      </w:pPr>
      <w:r>
        <w:t xml:space="preserve">Reflektiere Deine Rolle und Deine Beobachtungen in Bezug auf die vier Dimensionen</w:t>
      </w:r>
      <w:r>
        <w:t xml:space="preserve"> </w:t>
      </w:r>
      <w:r>
        <w:t xml:space="preserve">“wollen / können / dürfen / müssen”</w:t>
      </w:r>
    </w:p>
    <w:p>
      <w:pPr>
        <w:pStyle w:val="Compact"/>
        <w:numPr>
          <w:ilvl w:val="1"/>
          <w:numId w:val="1050"/>
        </w:numPr>
      </w:pPr>
      <w:r>
        <w:t xml:space="preserve">Inwieweit waren die Dimensionen erfüllt oder auch nicht? Welche Konsequenzen haben sich daraus ergeben?</w:t>
      </w:r>
    </w:p>
    <w:p>
      <w:pPr>
        <w:pStyle w:val="Compact"/>
        <w:numPr>
          <w:ilvl w:val="1"/>
          <w:numId w:val="1050"/>
        </w:numPr>
      </w:pPr>
      <w:r>
        <w:t xml:space="preserve">Was hat sich bewährt - und was nicht?</w:t>
      </w:r>
    </w:p>
    <w:p>
      <w:pPr>
        <w:pStyle w:val="Compact"/>
        <w:numPr>
          <w:ilvl w:val="1"/>
          <w:numId w:val="1050"/>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1"/>
        </w:numPr>
      </w:pPr>
      <w:r>
        <w:t xml:space="preserve">Welche konkreten Lernerfahrungen hast du bisher gemacht?</w:t>
      </w:r>
    </w:p>
    <w:p>
      <w:pPr>
        <w:pStyle w:val="Compact"/>
        <w:numPr>
          <w:ilvl w:val="0"/>
          <w:numId w:val="1051"/>
        </w:numPr>
      </w:pPr>
      <w:r>
        <w:t xml:space="preserve">Welche Methoden, Tools und Themen im Rahmen von Change-Management-Prozessen findest Du besonders hilfreich?</w:t>
      </w:r>
    </w:p>
    <w:p>
      <w:pPr>
        <w:pStyle w:val="Compact"/>
        <w:numPr>
          <w:ilvl w:val="0"/>
          <w:numId w:val="1051"/>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2"/>
        </w:numPr>
      </w:pPr>
      <w:r>
        <w:t xml:space="preserve">Lernbedarfsanalyse</w:t>
      </w:r>
    </w:p>
    <w:p>
      <w:pPr>
        <w:pStyle w:val="Compact"/>
        <w:numPr>
          <w:ilvl w:val="0"/>
          <w:numId w:val="1052"/>
        </w:numPr>
      </w:pPr>
      <w:r>
        <w:t xml:space="preserve">Trainingsformate &amp; Konzept incl. TTT</w:t>
      </w:r>
    </w:p>
    <w:p>
      <w:pPr>
        <w:pStyle w:val="Compact"/>
        <w:numPr>
          <w:ilvl w:val="0"/>
          <w:numId w:val="1052"/>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3"/>
        </w:numPr>
      </w:pPr>
      <w:r>
        <w:t xml:space="preserve">Welche persönlichen Erfahrungen habe ich in verschiedenen Communities gemacht und wie haben sie mir ermöglicht, Veränderungen zu unterstützen?</w:t>
      </w:r>
    </w:p>
    <w:p>
      <w:pPr>
        <w:pStyle w:val="Compact"/>
        <w:numPr>
          <w:ilvl w:val="0"/>
          <w:numId w:val="1053"/>
        </w:numPr>
      </w:pPr>
      <w:r>
        <w:t xml:space="preserve">Welche Rolle spielen gemeinsame Interessen und Werte in Communities und wie beeinflussen sie meine Teilnahme und Integration?</w:t>
      </w:r>
    </w:p>
    <w:p>
      <w:pPr>
        <w:pStyle w:val="Compact"/>
        <w:numPr>
          <w:ilvl w:val="0"/>
          <w:numId w:val="1053"/>
        </w:numPr>
      </w:pPr>
      <w:r>
        <w:t xml:space="preserve">Welche Herausforderungen und Konflikte können in Change-Communities auftreten und wie bin ich / sind wir damit umgegangen?</w:t>
      </w:r>
    </w:p>
    <w:p>
      <w:pPr>
        <w:pStyle w:val="Compact"/>
        <w:numPr>
          <w:ilvl w:val="0"/>
          <w:numId w:val="1053"/>
        </w:numPr>
      </w:pPr>
      <w:r>
        <w:t xml:space="preserve">Welche Verantwortung habe ich als Mitglied einer Community, um ein positives und unterstützendes Umfeld zu schaffen?</w:t>
      </w:r>
    </w:p>
    <w:p>
      <w:pPr>
        <w:pStyle w:val="Compact"/>
        <w:numPr>
          <w:ilvl w:val="0"/>
          <w:numId w:val="1053"/>
        </w:numPr>
      </w:pPr>
      <w:r>
        <w:t xml:space="preserve">Welche Bedeutung hat der Austausch und die Zusammenarbeit mit anderen Community-Mitgliedern für mein persönliches Wohlbefinden und meine Zufriedenheit?</w:t>
      </w:r>
    </w:p>
    <w:p>
      <w:pPr>
        <w:pStyle w:val="Compact"/>
        <w:numPr>
          <w:ilvl w:val="0"/>
          <w:numId w:val="1053"/>
        </w:numPr>
      </w:pPr>
      <w:r>
        <w:t xml:space="preserve">Wenn Du noch tiefer einsteigen möchtest:</w:t>
      </w:r>
    </w:p>
    <w:p>
      <w:pPr>
        <w:pStyle w:val="Compact"/>
        <w:numPr>
          <w:ilvl w:val="0"/>
          <w:numId w:val="1053"/>
        </w:numPr>
      </w:pPr>
      <w:r>
        <w:t xml:space="preserve">Was kann ich dazu beitragen, ein unterstützendes und kooperatives Umfeld innerhalb der Community zu fördern?</w:t>
      </w:r>
    </w:p>
    <w:p>
      <w:pPr>
        <w:pStyle w:val="Compact"/>
        <w:numPr>
          <w:ilvl w:val="0"/>
          <w:numId w:val="1053"/>
        </w:numPr>
      </w:pPr>
      <w:r>
        <w:t xml:space="preserve">Wie kann ich meine Ideen und Meinungen effektiv in die Community und den Change-Prozess einbringen?</w:t>
      </w:r>
    </w:p>
    <w:p>
      <w:pPr>
        <w:pStyle w:val="Compact"/>
        <w:numPr>
          <w:ilvl w:val="0"/>
          <w:numId w:val="1053"/>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2025-09-23T06:25:44Z</dcterms:created>
  <dcterms:modified xsi:type="dcterms:W3CDTF">2025-09-23T06:25:44Z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