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09"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69"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6"/>
    <w:bookmarkStart w:id="68"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7">
        <w:r>
          <w:rPr>
            <w:rStyle w:val="Hyperlink"/>
          </w:rPr>
          <w:t xml:space="preserve">Kommunikation in SAP Change Management Projekten</w:t>
        </w:r>
      </w:hyperlink>
      <w:hyperlink r:id="rId67">
        <w:r>
          <w:rPr>
            <w:rStyle w:val="Hyperlink"/>
          </w:rPr>
          <w:t xml:space="preserve">-</w:t>
        </w:r>
      </w:hyperlink>
      <w:r>
        <w:t xml:space="preserve"> </w:t>
      </w:r>
      <w:hyperlink r:id="rId67">
        <w:r>
          <w:rPr>
            <w:rStyle w:val="Hyperlink"/>
          </w:rPr>
          <w:t xml:space="preserve">Kaffe</w:t>
        </w:r>
      </w:hyperlink>
      <w:r>
        <w:t xml:space="preserve">e</w:t>
      </w:r>
      <w:hyperlink r:id="rId67">
        <w:r>
          <w:rPr>
            <w:rStyle w:val="Hyperlink"/>
          </w:rPr>
          <w:t xml:space="preserve">-</w:t>
        </w:r>
      </w:hyperlink>
      <w:hyperlink r:id="rId67">
        <w:r>
          <w:rPr>
            <w:rStyle w:val="Hyperlink"/>
          </w:rPr>
          <w:t xml:space="preserve">Ecken Recap</w:t>
        </w:r>
      </w:hyperlink>
    </w:p>
    <w:bookmarkEnd w:id="68"/>
    <w:bookmarkEnd w:id="69"/>
    <w:bookmarkStart w:id="81"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0"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0"/>
    <w:bookmarkStart w:id="72"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1">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2"/>
    <w:bookmarkStart w:id="73"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3"/>
    <w:bookmarkStart w:id="80"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4">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5">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6">
        <w:r>
          <w:rPr>
            <w:rStyle w:val="Hyperlink"/>
          </w:rPr>
          <w:t xml:space="preserve">DigiComp  </w:t>
        </w:r>
      </w:hyperlink>
      <w:r>
        <w:t xml:space="preserve">sowie die europäische Skill &amp; Job Datenbank</w:t>
      </w:r>
      <w:r>
        <w:t xml:space="preserve"> </w:t>
      </w:r>
      <w:hyperlink r:id="rId77">
        <w:r>
          <w:rPr>
            <w:rStyle w:val="Hyperlink"/>
          </w:rPr>
          <w:t xml:space="preserve">ESCO</w:t>
        </w:r>
      </w:hyperlink>
      <w:r>
        <w:t xml:space="preserve"> </w:t>
      </w:r>
      <w:r>
        <w:t xml:space="preserve">als Anker interessant.</w:t>
      </w:r>
    </w:p>
    <w:p>
      <w:pPr>
        <w:pStyle w:val="Compact"/>
        <w:numPr>
          <w:ilvl w:val="0"/>
          <w:numId w:val="1028"/>
        </w:numPr>
      </w:pPr>
      <w:hyperlink r:id="rId78">
        <w:r>
          <w:rPr>
            <w:rStyle w:val="Hyperlink"/>
          </w:rPr>
          <w:t xml:space="preserve">Learning Design Canvas vom internen SAP Learning Team</w:t>
        </w:r>
      </w:hyperlink>
    </w:p>
    <w:p>
      <w:pPr>
        <w:pStyle w:val="Compact"/>
        <w:numPr>
          <w:ilvl w:val="0"/>
          <w:numId w:val="1028"/>
        </w:numPr>
      </w:pPr>
      <w:hyperlink r:id="rId79">
        <w:r>
          <w:rPr>
            <w:rStyle w:val="Hyperlink"/>
          </w:rPr>
          <w:t xml:space="preserve">Generative Künstliche Intelligenz im Corporate Learning: Use Cases, Beispiele und Tips - Artikel von T. Jenewein</w:t>
        </w:r>
      </w:hyperlink>
      <w:r>
        <w:t xml:space="preserve">/&gt;</w:t>
      </w:r>
    </w:p>
    <w:bookmarkEnd w:id="80"/>
    <w:bookmarkEnd w:id="81"/>
    <w:bookmarkStart w:id="97" w:name="communities-im-change-management"/>
    <w:p>
      <w:pPr>
        <w:pStyle w:val="Heading2"/>
      </w:pPr>
      <w:r>
        <w:rPr>
          <w:rStyle w:val="SectionNumber"/>
        </w:rPr>
        <w:t xml:space="preserve">4.5</w:t>
      </w:r>
      <w:r>
        <w:tab/>
      </w:r>
      <w:r>
        <w:t xml:space="preserve">Communities im Change-Management</w:t>
      </w:r>
    </w:p>
    <w:bookmarkStart w:id="82"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2"/>
    <w:bookmarkStart w:id="83"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3"/>
    <w:bookmarkStart w:id="84"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4"/>
    <w:bookmarkStart w:id="85"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5"/>
    <w:bookmarkStart w:id="96"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6">
        <w:r>
          <w:rPr>
            <w:rStyle w:val="Hyperlink"/>
          </w:rPr>
          <w:t xml:space="preserve">Community Gruppe auf LinkedIn von SAP zu Change Management</w:t>
        </w:r>
      </w:hyperlink>
      <w:hyperlink r:id="rId87"/>
      <w:hyperlink r:id="rId87">
        <w:r>
          <w:rPr>
            <w:rStyle w:val="Hyperlink"/>
          </w:rPr>
          <w:t xml:space="preserve">–</w:t>
        </w:r>
      </w:hyperlink>
      <w:r>
        <w:t xml:space="preserve"> </w:t>
      </w:r>
      <w:r>
        <w:t xml:space="preserve">kommt dazu bei Interesse!</w:t>
      </w:r>
    </w:p>
    <w:p>
      <w:pPr>
        <w:pStyle w:val="Compact"/>
        <w:numPr>
          <w:ilvl w:val="0"/>
          <w:numId w:val="1033"/>
        </w:numPr>
      </w:pPr>
      <w:hyperlink r:id="rId87">
        <w:r>
          <w:rPr>
            <w:rStyle w:val="Hyperlink"/>
          </w:rPr>
          <w:t xml:space="preserve">Kaffee</w:t>
        </w:r>
      </w:hyperlink>
      <w:hyperlink r:id="rId87">
        <w:r>
          <w:rPr>
            <w:rStyle w:val="Hyperlink"/>
          </w:rPr>
          <w:t xml:space="preserve">-</w:t>
        </w:r>
      </w:hyperlink>
      <w:hyperlink r:id="rId87">
        <w:r>
          <w:rPr>
            <w:rStyle w:val="Hyperlink"/>
          </w:rPr>
          <w:t xml:space="preserve">Ecke (AMA) zu Change Themen</w:t>
        </w:r>
      </w:hyperlink>
      <w:hyperlink r:id="rId87"/>
      <w:r>
        <w:br/>
      </w:r>
    </w:p>
    <w:p>
      <w:pPr>
        <w:pStyle w:val="Compact"/>
        <w:numPr>
          <w:ilvl w:val="0"/>
          <w:numId w:val="1033"/>
        </w:numPr>
      </w:pPr>
      <w:hyperlink r:id="rId88">
        <w:r>
          <w:rPr>
            <w:rStyle w:val="Hyperlink"/>
          </w:rPr>
          <w:t xml:space="preserve">Blog zu Engagement in Communities</w:t>
        </w:r>
      </w:hyperlink>
      <w:hyperlink r:id="rId88"/>
    </w:p>
    <w:p>
      <w:pPr>
        <w:pStyle w:val="Compact"/>
        <w:numPr>
          <w:ilvl w:val="0"/>
          <w:numId w:val="1033"/>
        </w:numPr>
      </w:pPr>
      <w:hyperlink r:id="rId89">
        <w:r>
          <w:rPr>
            <w:rStyle w:val="Hyperlink"/>
          </w:rPr>
          <w:t xml:space="preserve">lernOS Leitfaden für Community Management</w:t>
        </w:r>
      </w:hyperlink>
    </w:p>
    <w:p>
      <w:pPr>
        <w:pStyle w:val="Compact"/>
        <w:numPr>
          <w:ilvl w:val="0"/>
          <w:numId w:val="1033"/>
        </w:numPr>
      </w:pPr>
      <w:hyperlink r:id="rId90">
        <w:r>
          <w:rPr>
            <w:rStyle w:val="Hyperlink"/>
          </w:rPr>
          <w:t xml:space="preserve">Website zu Communities</w:t>
        </w:r>
      </w:hyperlink>
      <w:r>
        <w:t xml:space="preserve"> </w:t>
      </w:r>
      <w:r>
        <w:t xml:space="preserve">(Tanja Laub)</w:t>
      </w:r>
    </w:p>
    <w:p>
      <w:pPr>
        <w:pStyle w:val="Compact"/>
        <w:numPr>
          <w:ilvl w:val="0"/>
          <w:numId w:val="1033"/>
        </w:numPr>
      </w:pPr>
      <w:hyperlink r:id="rId91">
        <w:r>
          <w:rPr>
            <w:rStyle w:val="Hyperlink"/>
          </w:rPr>
          <w:t xml:space="preserve">Community Management Studien, Trends und Konferenzen</w:t>
        </w:r>
      </w:hyperlink>
    </w:p>
    <w:p>
      <w:pPr>
        <w:pStyle w:val="Compact"/>
        <w:numPr>
          <w:ilvl w:val="0"/>
          <w:numId w:val="1033"/>
        </w:numPr>
      </w:pPr>
      <w:hyperlink r:id="rId92">
        <w:r>
          <w:rPr>
            <w:rStyle w:val="Hyperlink"/>
          </w:rPr>
          <w:t xml:space="preserve">The Community Roundtable</w:t>
        </w:r>
      </w:hyperlink>
    </w:p>
    <w:p>
      <w:pPr>
        <w:pStyle w:val="Compact"/>
        <w:numPr>
          <w:ilvl w:val="0"/>
          <w:numId w:val="1033"/>
        </w:numPr>
      </w:pPr>
      <w:hyperlink r:id="rId93">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4">
        <w:r>
          <w:rPr>
            <w:rStyle w:val="Hyperlink"/>
          </w:rPr>
          <w:t xml:space="preserve">Social Media Adoption</w:t>
        </w:r>
      </w:hyperlink>
      <w:hyperlink r:id="rId94">
        <w:r>
          <w:rPr>
            <w:rStyle w:val="Hyperlink"/>
          </w:rPr>
          <w:t xml:space="preserve">-</w:t>
        </w:r>
      </w:hyperlink>
      <w:r>
        <w:t xml:space="preserve"> </w:t>
      </w:r>
      <w:hyperlink r:id="rId94">
        <w:r>
          <w:rPr>
            <w:rStyle w:val="Hyperlink"/>
          </w:rPr>
          <w:t xml:space="preserve">the GUIDE concept » Harald</w:t>
        </w:r>
      </w:hyperlink>
      <w:hyperlink r:id="rId94">
        <w:r>
          <w:rPr>
            <w:rStyle w:val="Hyperlink"/>
          </w:rPr>
          <w:t xml:space="preserve">-</w:t>
        </w:r>
      </w:hyperlink>
      <w:hyperlink r:id="rId94">
        <w:r>
          <w:rPr>
            <w:rStyle w:val="Hyperlink"/>
          </w:rPr>
          <w:t xml:space="preserve">Schirmer.de</w:t>
        </w:r>
      </w:hyperlink>
    </w:p>
    <w:p>
      <w:pPr>
        <w:pStyle w:val="Compact"/>
        <w:numPr>
          <w:ilvl w:val="0"/>
          <w:numId w:val="1034"/>
        </w:numPr>
      </w:pPr>
      <w:hyperlink r:id="rId95">
        <w:r>
          <w:rPr>
            <w:rStyle w:val="Hyperlink"/>
          </w:rPr>
          <w:t xml:space="preserve">Lessons learned from Social Media Implementation » Harald</w:t>
        </w:r>
      </w:hyperlink>
      <w:hyperlink r:id="rId95">
        <w:r>
          <w:rPr>
            <w:rStyle w:val="Hyperlink"/>
          </w:rPr>
          <w:t xml:space="preserve">-</w:t>
        </w:r>
      </w:hyperlink>
      <w:hyperlink r:id="rId95">
        <w:r>
          <w:rPr>
            <w:rStyle w:val="Hyperlink"/>
          </w:rPr>
          <w:t xml:space="preserve">Schirmer.de</w:t>
        </w:r>
      </w:hyperlink>
    </w:p>
    <w:bookmarkEnd w:id="96"/>
    <w:bookmarkEnd w:id="97"/>
    <w:bookmarkStart w:id="103"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8"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8"/>
    <w:bookmarkStart w:id="99"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99"/>
    <w:bookmarkStart w:id="102"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0">
        <w:r>
          <w:rPr>
            <w:rStyle w:val="Hyperlink"/>
          </w:rPr>
          <w:t xml:space="preserve">Change Readiness</w:t>
        </w:r>
      </w:hyperlink>
    </w:p>
    <w:p>
      <w:pPr>
        <w:pStyle w:val="Compact"/>
        <w:numPr>
          <w:ilvl w:val="0"/>
          <w:numId w:val="1040"/>
        </w:numPr>
      </w:pPr>
      <w:hyperlink r:id="rId101">
        <w:r>
          <w:rPr>
            <w:rStyle w:val="Hyperlink"/>
          </w:rPr>
          <w:t xml:space="preserve">Change Readiness Analysen in Wissenschaft und SAP-Praxis</w:t>
        </w:r>
      </w:hyperlink>
    </w:p>
    <w:bookmarkEnd w:id="102"/>
    <w:bookmarkEnd w:id="103"/>
    <w:bookmarkStart w:id="104"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4"/>
    <w:bookmarkStart w:id="108"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5">
        <w:r>
          <w:rPr>
            <w:rStyle w:val="Hyperlink"/>
          </w:rPr>
          <w:t xml:space="preserve">Veränderung von Organisationen</w:t>
        </w:r>
      </w:hyperlink>
      <w:r>
        <w:t xml:space="preserve"> </w:t>
      </w:r>
      <w:r>
        <w:t xml:space="preserve">sowie</w:t>
      </w:r>
      <w:r>
        <w:t xml:space="preserve"> </w:t>
      </w:r>
      <w:hyperlink r:id="rId106">
        <w:r>
          <w:rPr>
            <w:rStyle w:val="Hyperlink"/>
          </w:rPr>
          <w:t xml:space="preserve">Eine Lernende Organisation kultivieren</w:t>
        </w:r>
      </w:hyperlink>
    </w:p>
    <w:p>
      <w:pPr>
        <w:pStyle w:val="Compact"/>
        <w:numPr>
          <w:ilvl w:val="0"/>
          <w:numId w:val="1042"/>
        </w:numPr>
      </w:pPr>
      <w:hyperlink r:id="rId107">
        <w:r>
          <w:rPr>
            <w:rStyle w:val="Hyperlink"/>
          </w:rPr>
          <w:t xml:space="preserve">Quelle: e-Book Restrukturierung</w:t>
        </w:r>
      </w:hyperlink>
    </w:p>
    <w:bookmarkEnd w:id="108"/>
    <w:bookmarkEnd w:id="109"/>
    <w:bookmarkStart w:id="125" w:name="lernpfad"/>
    <w:p>
      <w:pPr>
        <w:pStyle w:val="Heading1"/>
      </w:pPr>
      <w:r>
        <w:rPr>
          <w:rStyle w:val="SectionNumber"/>
        </w:rPr>
        <w:t xml:space="preserve">5</w:t>
      </w:r>
      <w:r>
        <w:tab/>
      </w:r>
      <w:r>
        <w:t xml:space="preserve">Lernpfad</w:t>
      </w:r>
    </w:p>
    <w:bookmarkStart w:id="113"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0">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1">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2">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3"/>
    <w:bookmarkStart w:id="114"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4"/>
    <w:bookmarkStart w:id="115"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5"/>
    <w:bookmarkStart w:id="116"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6"/>
    <w:bookmarkStart w:id="117"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7"/>
    <w:bookmarkStart w:id="118"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wie Change Manager, Change Agent, Führungskraft, Change-Projektmitglied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8"/>
    <w:bookmarkStart w:id="119"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19"/>
    <w:bookmarkStart w:id="120"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0"/>
    <w:bookmarkStart w:id="121"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Praktiken, Methoden, Tools oder Themen im Rahmen von Change-Management findest Du besonders hilfreich?</w:t>
      </w:r>
    </w:p>
    <w:p>
      <w:pPr>
        <w:pStyle w:val="Compact"/>
        <w:numPr>
          <w:ilvl w:val="0"/>
          <w:numId w:val="1050"/>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1"/>
    <w:bookmarkStart w:id="122"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2"/>
    <w:bookmarkStart w:id="123"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3"/>
    <w:bookmarkStart w:id="124"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4"/>
    <w:bookmarkEnd w:id="125"/>
    <w:bookmarkStart w:id="129" w:name="anhang"/>
    <w:p>
      <w:pPr>
        <w:pStyle w:val="Heading1"/>
      </w:pPr>
      <w:r>
        <w:rPr>
          <w:rStyle w:val="SectionNumber"/>
        </w:rPr>
        <w:t xml:space="preserve">6</w:t>
      </w:r>
      <w:r>
        <w:tab/>
      </w:r>
      <w:r>
        <w:t xml:space="preserve">Anhang</w:t>
      </w:r>
    </w:p>
    <w:bookmarkStart w:id="126"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6"/>
    <w:bookmarkStart w:id="127"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7"/>
    <w:bookmarkStart w:id="128"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8"/>
    <w:bookmarkEnd w:id="1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8"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3" Target="https://bvcm.org/" TargetMode="External" /><Relationship Type="http://schemas.openxmlformats.org/officeDocument/2006/relationships/hyperlink" Id="rId33" Target="https://change-workout.de/" TargetMode="External" /><Relationship Type="http://schemas.openxmlformats.org/officeDocument/2006/relationships/hyperlink" Id="rId89" Target="https://cogneon.github.io/lernos-cmgmt/de/" TargetMode="External" /><Relationship Type="http://schemas.openxmlformats.org/officeDocument/2006/relationships/hyperlink" Id="rId105" Target="https://cogneon.github.io/lernos-for-organizations/de/3-2-Veraenderung-von-Organisation/" TargetMode="External" /><Relationship Type="http://schemas.openxmlformats.org/officeDocument/2006/relationships/hyperlink" Id="rId106" Target="https://cogneon.github.io/lernos-for-organizations/de/3-4-Eine-Lernende-Organisation-kultivieren/" TargetMode="External" /><Relationship Type="http://schemas.openxmlformats.org/officeDocument/2006/relationships/hyperlink" Id="rId75" Target="https://colearn.de/" TargetMode="External" /><Relationship Type="http://schemas.openxmlformats.org/officeDocument/2006/relationships/hyperlink" Id="rId101" Target="https://community.sap.com/t5/sap-training-and-change-management/change-readiness-analysen-in-wissenschaft-und-sap-praxis/ba-p/13919564" TargetMode="External" /><Relationship Type="http://schemas.openxmlformats.org/officeDocument/2006/relationships/hyperlink" Id="rId79"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2"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0"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7" Target="https://esco.ec.europa.eu/" TargetMode="External" /><Relationship Type="http://schemas.openxmlformats.org/officeDocument/2006/relationships/hyperlink" Id="rId87" Target="https://events.sap.com/de/sap-change-training/de/home" TargetMode="External" /><Relationship Type="http://schemas.openxmlformats.org/officeDocument/2006/relationships/hyperlink" Id="rId94" Target="https://harald-schirmer.de/2014/03/11/social-media-adoption-the-guide-concept/" TargetMode="External" /><Relationship Type="http://schemas.openxmlformats.org/officeDocument/2006/relationships/hyperlink" Id="rId95"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6"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2"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4"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0" Target="https://www.communitymanagement.de/community-canvas/" TargetMode="External" /><Relationship Type="http://schemas.openxmlformats.org/officeDocument/2006/relationships/hyperlink" Id="rId91" Target="https://www.communitymanagement.de/community-management/community-management-studien-trends-und-konferenzen/" TargetMode="External" /><Relationship Type="http://schemas.openxmlformats.org/officeDocument/2006/relationships/hyperlink" Id="rId107" Target="https://www.emergize.org/restrukturierung/" TargetMode="External" /><Relationship Type="http://schemas.openxmlformats.org/officeDocument/2006/relationships/hyperlink" Id="rId86" Target="https://www.linkedin.com/groups/8682361/" TargetMode="External" /><Relationship Type="http://schemas.openxmlformats.org/officeDocument/2006/relationships/hyperlink" Id="rId111" Target="https://www.linkedin.com/posts/thomasjenewein_learning-circle-experience-tool-guide-activity-6899241139640356864-l-6G/" TargetMode="External" /><Relationship Type="http://schemas.openxmlformats.org/officeDocument/2006/relationships/hyperlink" Id="rId88" Target="https://www.linkedin.com/pulse/engagement-und-mitmachen-f%C3%B6rdern-communities-mit-tanja-jenewein/" TargetMode="External" /><Relationship Type="http://schemas.openxmlformats.org/officeDocument/2006/relationships/hyperlink" Id="rId71" Target="https://www.linkedin.com/pulse/how-measure-benefits-training-people-development-thomas-jenewein/" TargetMode="External" /><Relationship Type="http://schemas.openxmlformats.org/officeDocument/2006/relationships/hyperlink" Id="rId100" Target="https://www.linkedin.com/pulse/insightsin2change-you-ready-change-changeinsight/"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2025-09-23T07:24:43Z</dcterms:created>
  <dcterms:modified xsi:type="dcterms:W3CDTF">2025-09-23T07:24:43Z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