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2"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6"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1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6"/>
    <w:bookmarkStart w:id="17"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7"/>
    <w:bookmarkStart w:id="21"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2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1"/>
    <w:bookmarkEnd w:id="22"/>
    <w:bookmarkStart w:id="110" w:name="grundlagen"/>
    <w:p>
      <w:pPr>
        <w:pStyle w:val="Heading1"/>
      </w:pPr>
      <w:r>
        <w:rPr>
          <w:rStyle w:val="SectionNumber"/>
        </w:rPr>
        <w:t xml:space="preserve">4</w:t>
      </w:r>
      <w:r>
        <w:tab/>
      </w:r>
      <w:r>
        <w:t xml:space="preserve">Grundlagen</w:t>
      </w:r>
    </w:p>
    <w:bookmarkStart w:id="54"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3"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3"/>
    <w:bookmarkStart w:id="25"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5"/>
    <w:bookmarkStart w:id="26"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6"/>
    <w:bookmarkStart w:id="27"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7"/>
    <w:bookmarkStart w:id="28"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8"/>
    <w:bookmarkStart w:id="29"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9"/>
    <w:bookmarkStart w:id="31"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3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1"/>
    <w:bookmarkStart w:id="39"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2">
        <w:r>
          <w:rPr>
            <w:rStyle w:val="Hyperlink"/>
          </w:rPr>
          <w:t xml:space="preserve">Change management</w:t>
        </w:r>
      </w:hyperlink>
    </w:p>
    <w:p>
      <w:pPr>
        <w:pStyle w:val="Compact"/>
        <w:numPr>
          <w:ilvl w:val="0"/>
          <w:numId w:val="1005"/>
        </w:numPr>
      </w:pPr>
      <w:hyperlink r:id="rId33">
        <w:r>
          <w:rPr>
            <w:rStyle w:val="Hyperlink"/>
          </w:rPr>
          <w:t xml:space="preserve">Podcast von Prof. Trost zu Change Management</w:t>
        </w:r>
      </w:hyperlink>
    </w:p>
    <w:p>
      <w:pPr>
        <w:pStyle w:val="Compact"/>
        <w:numPr>
          <w:ilvl w:val="0"/>
          <w:numId w:val="1005"/>
        </w:numPr>
      </w:pPr>
      <w:hyperlink r:id="rId34">
        <w:r>
          <w:rPr>
            <w:rStyle w:val="Hyperlink"/>
          </w:rPr>
          <w:t xml:space="preserve">Change Workout - Infoseite</w:t>
        </w:r>
      </w:hyperlink>
    </w:p>
    <w:p>
      <w:pPr>
        <w:pStyle w:val="Compact"/>
        <w:numPr>
          <w:ilvl w:val="0"/>
          <w:numId w:val="1005"/>
        </w:numPr>
      </w:pPr>
      <w:hyperlink r:id="rId35">
        <w:r>
          <w:rPr>
            <w:rStyle w:val="Hyperlink"/>
          </w:rPr>
          <w:t xml:space="preserve">70 Prozent aller Change-Vorhaben scheitern n-immer</w:t>
        </w:r>
      </w:hyperlink>
    </w:p>
    <w:p>
      <w:pPr>
        <w:pStyle w:val="Compact"/>
        <w:numPr>
          <w:ilvl w:val="0"/>
          <w:numId w:val="1005"/>
        </w:numPr>
      </w:pPr>
      <w:hyperlink r:id="rId36">
        <w:r>
          <w:rPr>
            <w:rStyle w:val="Hyperlink"/>
          </w:rPr>
          <w:t xml:space="preserve">Reflektion der Nutzung von Change Modellen</w:t>
        </w:r>
      </w:hyperlink>
    </w:p>
    <w:p>
      <w:pPr>
        <w:pStyle w:val="Compact"/>
        <w:numPr>
          <w:ilvl w:val="0"/>
          <w:numId w:val="1005"/>
        </w:numPr>
      </w:pPr>
      <w:hyperlink r:id="rId37">
        <w:r>
          <w:rPr>
            <w:rStyle w:val="Hyperlink"/>
          </w:rPr>
          <w:t xml:space="preserve">Metatheorie der Veränderung Infoseite</w:t>
        </w:r>
      </w:hyperlink>
    </w:p>
    <w:p>
      <w:pPr>
        <w:pStyle w:val="Compact"/>
        <w:numPr>
          <w:ilvl w:val="0"/>
          <w:numId w:val="1005"/>
        </w:numPr>
      </w:pPr>
      <w:hyperlink r:id="rId38">
        <w:r>
          <w:rPr>
            <w:rStyle w:val="Hyperlink"/>
          </w:rPr>
          <w:t xml:space="preserve">Change Management auf Wikipedia</w:t>
        </w:r>
      </w:hyperlink>
    </w:p>
    <w:bookmarkEnd w:id="39"/>
    <w:bookmarkStart w:id="50" w:name="rollen-im-veränderungsprojekt"/>
    <w:p>
      <w:pPr>
        <w:pStyle w:val="Heading3"/>
      </w:pPr>
      <w:r>
        <w:rPr>
          <w:rStyle w:val="SectionNumber"/>
        </w:rPr>
        <w:t xml:space="preserve">4.1.9</w:t>
      </w:r>
      <w:r>
        <w:tab/>
      </w:r>
      <w:r>
        <w:t xml:space="preserve">Rollen im Veränderungsprojekt</w:t>
      </w:r>
    </w:p>
    <w:bookmarkStart w:id="40"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40"/>
    <w:bookmarkStart w:id="45"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1">
        <w:r>
          <w:rPr>
            <w:rStyle w:val="Hyperlink"/>
          </w:rPr>
          <w:t xml:space="preserve">Projektorganisation</w:t>
        </w:r>
      </w:hyperlink>
      <w:r>
        <w:t xml:space="preserve"> </w:t>
      </w:r>
      <w:r>
        <w:t xml:space="preserve">die organisatorische Stelle, der die operative Kontrolle eines</w:t>
      </w:r>
      <w:r>
        <w:t xml:space="preserve"> </w:t>
      </w:r>
      <w:hyperlink r:id="rId42">
        <w:r>
          <w:rPr>
            <w:rStyle w:val="Hyperlink"/>
          </w:rPr>
          <w:t xml:space="preserve">Projektes</w:t>
        </w:r>
      </w:hyperlink>
      <w:r>
        <w:t xml:space="preserve"> </w:t>
      </w:r>
      <w:r>
        <w:t xml:space="preserve">unterliegt. Aufgabe dieser Organisationseinheit ist primär das</w:t>
      </w:r>
      <w:r>
        <w:t xml:space="preserve"> </w:t>
      </w:r>
      <w:hyperlink r:id="rId43">
        <w:r>
          <w:rPr>
            <w:rStyle w:val="Hyperlink"/>
          </w:rPr>
          <w:t xml:space="preserve">Projektmanagement</w:t>
        </w:r>
      </w:hyperlink>
      <w:r>
        <w:t xml:space="preserve">; in kleineren Projekten wird die Projektleitung durch den</w:t>
      </w:r>
      <w:r>
        <w:t xml:space="preserve"> </w:t>
      </w:r>
      <w:hyperlink r:id="rId44">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5"/>
    <w:bookmarkStart w:id="46"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6"/>
    <w:bookmarkStart w:id="47"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7"/>
    <w:bookmarkStart w:id="48"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8"/>
    <w:bookmarkStart w:id="49"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9"/>
    <w:bookmarkEnd w:id="50"/>
    <w:bookmarkStart w:id="53"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1">
        <w:r>
          <w:rPr>
            <w:rStyle w:val="Hyperlink"/>
          </w:rPr>
          <w:t xml:space="preserve">Rollen und Verantwortlichkeiten im Änderungsmanagement | Atlassian</w:t>
        </w:r>
      </w:hyperlink>
    </w:p>
    <w:p>
      <w:pPr>
        <w:pStyle w:val="Compact"/>
        <w:numPr>
          <w:ilvl w:val="0"/>
          <w:numId w:val="1012"/>
        </w:numPr>
      </w:pPr>
      <w:hyperlink r:id="rId52">
        <w:r>
          <w:rPr>
            <w:rStyle w:val="Hyperlink"/>
          </w:rPr>
          <w:t xml:space="preserve">CLARC: Die Rolle von Personalmanagern im Change Management |</w:t>
        </w:r>
      </w:hyperlink>
    </w:p>
    <w:bookmarkEnd w:id="53"/>
    <w:bookmarkEnd w:id="54"/>
    <w:bookmarkStart w:id="62"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5"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55"/>
    <w:bookmarkStart w:id="61"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6"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6"/>
    <w:bookmarkStart w:id="58"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7">
        <w:r>
          <w:rPr>
            <w:rStyle w:val="Hyperlink"/>
          </w:rPr>
          <w:t xml:space="preserve">Quelle: Prof. Ina Kohl, Vortrag</w:t>
        </w:r>
      </w:hyperlink>
      <w:hyperlink r:id="rId57"/>
    </w:p>
    <w:bookmarkEnd w:id="58"/>
    <w:bookmarkStart w:id="60"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9">
        <w:r>
          <w:rPr>
            <w:rStyle w:val="Hyperlink"/>
          </w:rPr>
          <w:t xml:space="preserve">SAP Training und Change Kaffee Ecke: Widerstände im Change – Ursachen, Formen und möglicher Umgang</w:t>
        </w:r>
      </w:hyperlink>
    </w:p>
    <w:bookmarkEnd w:id="60"/>
    <w:bookmarkEnd w:id="61"/>
    <w:bookmarkEnd w:id="62"/>
    <w:bookmarkStart w:id="70" w:name="kommunikation-im-change-management"/>
    <w:p>
      <w:pPr>
        <w:pStyle w:val="Heading2"/>
      </w:pPr>
      <w:r>
        <w:rPr>
          <w:rStyle w:val="SectionNumber"/>
        </w:rPr>
        <w:t xml:space="preserve">4.3</w:t>
      </w:r>
      <w:r>
        <w:tab/>
      </w:r>
      <w:r>
        <w:t xml:space="preserve">Kommunikation im Change-Management</w:t>
      </w:r>
    </w:p>
    <w:bookmarkStart w:id="63"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3"/>
    <w:bookmarkStart w:id="64"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4"/>
    <w:bookmarkStart w:id="65"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Abteilungsleiter*innen,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5"/>
    <w:bookmarkStart w:id="66"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Teamleiter*innen und direkten Vorgesetzten: Die Einbeziehung von Teamleiter*innen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6"/>
    <w:bookmarkStart w:id="67"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7"/>
    <w:bookmarkStart w:id="69"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Multiplikator*innen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8">
        <w:r>
          <w:rPr>
            <w:rStyle w:val="Hyperlink"/>
          </w:rPr>
          <w:t xml:space="preserve">Kommunikation in SAP Change Management Projekten</w:t>
        </w:r>
      </w:hyperlink>
      <w:hyperlink r:id="rId68">
        <w:r>
          <w:rPr>
            <w:rStyle w:val="Hyperlink"/>
          </w:rPr>
          <w:t xml:space="preserve">-</w:t>
        </w:r>
      </w:hyperlink>
      <w:r>
        <w:t xml:space="preserve"> </w:t>
      </w:r>
      <w:hyperlink r:id="rId68">
        <w:r>
          <w:rPr>
            <w:rStyle w:val="Hyperlink"/>
          </w:rPr>
          <w:t xml:space="preserve">Kaffe</w:t>
        </w:r>
      </w:hyperlink>
      <w:r>
        <w:t xml:space="preserve">e</w:t>
      </w:r>
      <w:hyperlink r:id="rId68">
        <w:r>
          <w:rPr>
            <w:rStyle w:val="Hyperlink"/>
          </w:rPr>
          <w:t xml:space="preserve">-</w:t>
        </w:r>
      </w:hyperlink>
      <w:hyperlink r:id="rId68">
        <w:r>
          <w:rPr>
            <w:rStyle w:val="Hyperlink"/>
          </w:rPr>
          <w:t xml:space="preserve">Ecken Recap</w:t>
        </w:r>
      </w:hyperlink>
    </w:p>
    <w:bookmarkEnd w:id="69"/>
    <w:bookmarkEnd w:id="70"/>
    <w:bookmarkStart w:id="82"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1"/>
    <w:bookmarkStart w:id="73"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Expert*innen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 vom internen SAP Learning Team</w:t>
        </w:r>
      </w:hyperlink>
    </w:p>
    <w:p>
      <w:pPr>
        <w:pStyle w:val="Compact"/>
        <w:numPr>
          <w:ilvl w:val="0"/>
          <w:numId w:val="1028"/>
        </w:numPr>
      </w:pPr>
      <w:hyperlink r:id="rId80">
        <w:r>
          <w:rPr>
            <w:rStyle w:val="Hyperlink"/>
          </w:rPr>
          <w:t xml:space="preserve">Generative Künstliche Intelligenz im Corporate Learning: Use Cases, Beispiele und Tips - Artikel von T. Jenewein</w:t>
        </w:r>
      </w:hyperlink>
      <w:r>
        <w:t xml:space="preserve">/&gt;</w:t>
      </w:r>
    </w:p>
    <w:bookmarkEnd w:id="81"/>
    <w:bookmarkEnd w:id="82"/>
    <w:bookmarkStart w:id="98" w:name="communities-im-change-management"/>
    <w:p>
      <w:pPr>
        <w:pStyle w:val="Heading2"/>
      </w:pPr>
      <w:r>
        <w:rPr>
          <w:rStyle w:val="SectionNumber"/>
        </w:rPr>
        <w:t xml:space="preserve">4.5</w:t>
      </w:r>
      <w:r>
        <w:tab/>
      </w:r>
      <w:r>
        <w:t xml:space="preserve">Communities im Change-Management</w:t>
      </w:r>
    </w:p>
    <w:bookmarkStart w:id="83"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Mitglieder*innen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Change-Sponsor*innen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Mitglieder*innen sind oft intrinsisch motivierte Individuen, die als Change Agents fungieren und als Ansprechpartner*innen und Mentor*innen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Mitglieder*innen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Mitglieder*innen in der Lage sind, effektiv auf Veränderungen zu reagieren.</w:t>
      </w:r>
    </w:p>
    <w:bookmarkEnd w:id="84"/>
    <w:bookmarkStart w:id="85"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Mitglieder*innen.</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Manager*innen oder Moderator*innen, helfen, das Engagement zu fördern.</w:t>
      </w:r>
    </w:p>
    <w:p>
      <w:pPr>
        <w:pStyle w:val="Compact"/>
        <w:numPr>
          <w:ilvl w:val="0"/>
          <w:numId w:val="1031"/>
        </w:numPr>
      </w:pPr>
      <w:r>
        <w:t xml:space="preserve">Wissensmanagement und Dokumentation: Effektive Communities dokumentieren relevante Informationen und machen sie für die Mitglieder*innen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Mitglieder*innen.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Mitglieder*innen und den Mehrwert der Community.</w:t>
      </w:r>
    </w:p>
    <w:bookmarkEnd w:id="86"/>
    <w:bookmarkStart w:id="97"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 von SAP zu Change Management</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 zu Change Themen</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4"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Expert*innen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Nutzer*innen. Toolseitig kann dies effektiv durch Prozess-Management Software wie SAP Signavio unterstützt werden.</w:t>
      </w:r>
    </w:p>
    <w:bookmarkEnd w:id="100"/>
    <w:bookmarkStart w:id="103"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Key-User*innen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Change Readiness Analysen in Wissenschaft und SAP-Praxis</w:t>
        </w:r>
      </w:hyperlink>
    </w:p>
    <w:bookmarkEnd w:id="103"/>
    <w:bookmarkEnd w:id="104"/>
    <w:bookmarkStart w:id="105"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5"/>
    <w:bookmarkStart w:id="109"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6">
        <w:r>
          <w:rPr>
            <w:rStyle w:val="Hyperlink"/>
          </w:rPr>
          <w:t xml:space="preserve">Veränderung von Organisationen</w:t>
        </w:r>
      </w:hyperlink>
      <w:r>
        <w:t xml:space="preserve"> </w:t>
      </w:r>
      <w:r>
        <w:t xml:space="preserve">sowie</w:t>
      </w:r>
      <w:r>
        <w:t xml:space="preserve"> </w:t>
      </w:r>
      <w:hyperlink r:id="rId107">
        <w:r>
          <w:rPr>
            <w:rStyle w:val="Hyperlink"/>
          </w:rPr>
          <w:t xml:space="preserve">Eine Lernende Organisation kultivieren</w:t>
        </w:r>
      </w:hyperlink>
    </w:p>
    <w:p>
      <w:pPr>
        <w:pStyle w:val="Compact"/>
        <w:numPr>
          <w:ilvl w:val="0"/>
          <w:numId w:val="1042"/>
        </w:numPr>
      </w:pPr>
      <w:hyperlink r:id="rId108">
        <w:r>
          <w:rPr>
            <w:rStyle w:val="Hyperlink"/>
          </w:rPr>
          <w:t xml:space="preserve">Quelle: e-Book Restrukturierung</w:t>
        </w:r>
      </w:hyperlink>
    </w:p>
    <w:bookmarkEnd w:id="109"/>
    <w:bookmarkEnd w:id="110"/>
    <w:bookmarkStart w:id="126" w:name="lernpfad"/>
    <w:p>
      <w:pPr>
        <w:pStyle w:val="Heading1"/>
      </w:pPr>
      <w:r>
        <w:rPr>
          <w:rStyle w:val="SectionNumber"/>
        </w:rPr>
        <w:t xml:space="preserve">5</w:t>
      </w:r>
      <w:r>
        <w:tab/>
      </w:r>
      <w:r>
        <w:t xml:space="preserve">Lernpfad</w:t>
      </w:r>
    </w:p>
    <w:bookmarkStart w:id="114"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1">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2">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13">
        <w:r>
          <w:rPr>
            <w:rStyle w:val="Hyperlink"/>
          </w:rPr>
          <w:t xml:space="preserve">https://cogneon.github.io/lernos/de/learning</w:t>
        </w:r>
      </w:hyperlink>
      <w:hyperlink r:id="rId113">
        <w:r>
          <w:rPr>
            <w:rStyle w:val="Hyperlink"/>
          </w:rPr>
          <w:t xml:space="preserve">-</w:t>
        </w:r>
      </w:hyperlink>
      <w:hyperlink r:id="rId113">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4"/>
    <w:bookmarkStart w:id="115"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5"/>
    <w:bookmarkStart w:id="116"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6"/>
    <w:bookmarkStart w:id="117"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7"/>
    <w:bookmarkStart w:id="118"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18"/>
    <w:bookmarkStart w:id="119"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19"/>
    <w:bookmarkStart w:id="120"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20"/>
    <w:bookmarkStart w:id="121"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21"/>
    <w:bookmarkStart w:id="122"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2"/>
    <w:bookmarkStart w:id="123"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3"/>
    <w:bookmarkStart w:id="124"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4"/>
    <w:bookmarkStart w:id="125"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5"/>
    <w:bookmarkEnd w:id="126"/>
    <w:bookmarkStart w:id="130" w:name="anhang"/>
    <w:p>
      <w:pPr>
        <w:pStyle w:val="Heading1"/>
      </w:pPr>
      <w:r>
        <w:rPr>
          <w:rStyle w:val="SectionNumber"/>
        </w:rPr>
        <w:t xml:space="preserve">6</w:t>
      </w:r>
      <w:r>
        <w:tab/>
      </w:r>
      <w:r>
        <w:t xml:space="preserve">Anhang</w:t>
      </w:r>
    </w:p>
    <w:bookmarkStart w:id="127"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7"/>
    <w:bookmarkStart w:id="128"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8"/>
    <w:bookmarkStart w:id="129"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57"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4"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113" Target="https://cogneon.github.io/lernos/de/learning-circle/"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8" Target="https://community.sap.com/t5/sap-training-and-change-management/kommunikation-in-sap-change-management-projekten-kaffe-ecken-recap/ba-p/297108" TargetMode="External" /><Relationship Type="http://schemas.openxmlformats.org/officeDocument/2006/relationships/hyperlink" Id="rId59"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52" Target="https://www.prosci.com/de/blog/clarc-die-rolle-von-personalmanagern-im-change-management" TargetMode="External" /><Relationship Type="http://schemas.openxmlformats.org/officeDocument/2006/relationships/hyperlink" Id="rId32"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57"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4"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113" Target="https://cogneon.github.io/lernos/de/learning-circle/"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8" Target="https://community.sap.com/t5/sap-training-and-change-management/kommunikation-in-sap-change-management-projekten-kaffe-ecken-recap/ba-p/297108" TargetMode="External" /><Relationship Type="http://schemas.openxmlformats.org/officeDocument/2006/relationships/hyperlink" Id="rId59"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52" Target="https://www.prosci.com/de/blog/clarc-die-rolle-von-personalmanagern-im-change-management" TargetMode="External" /><Relationship Type="http://schemas.openxmlformats.org/officeDocument/2006/relationships/hyperlink" Id="rId32"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2025-09-23T04:19:12Z</dcterms:created>
  <dcterms:modified xsi:type="dcterms:W3CDTF">2025-09-23T04:19:12Z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