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rwort"/>
      <w:r>
        <w:t xml:space="preserve">Vorwort</w:t>
      </w:r>
      <w:bookmarkEnd w:id="20"/>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1">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2">
        <w:r>
          <w:rPr>
            <w:rStyle w:val="Hyperlink"/>
          </w:rPr>
          <w:t xml:space="preserve">CONNECT</w:t>
        </w:r>
      </w:hyperlink>
      <w:r>
        <w:t xml:space="preserve"> </w:t>
      </w:r>
      <w:r>
        <w:t xml:space="preserve">nutzen oder mit</w:t>
      </w:r>
      <w:r>
        <w:t xml:space="preserve"> </w:t>
      </w:r>
      <w:hyperlink r:id="rId23">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4" w:name="danksagungen"/>
      <w:r>
        <w:t xml:space="preserve">Danksagungen</w:t>
      </w:r>
      <w:bookmarkEnd w:id="24"/>
    </w:p>
    <w:p>
      <w:pPr>
        <w:pStyle w:val="FirstParagraph"/>
      </w:pPr>
      <w:r>
        <w:t xml:space="preserve">lernOS ist von vielen Personen und Quellen inspiriert und steht daher</w:t>
      </w:r>
      <w:r>
        <w:t xml:space="preserve"> </w:t>
      </w:r>
      <w:hyperlink r:id="rId25">
        <w:r>
          <w:rPr>
            <w:rStyle w:val="Hyperlink"/>
          </w:rPr>
          <w:t xml:space="preserve">auf den Schultern von Riesen</w:t>
        </w:r>
      </w:hyperlink>
      <w:r>
        <w:t xml:space="preserve">. Ein Überblick über die Wurzeln und Inspirationen habe ich</w:t>
      </w:r>
      <w:r>
        <w:t xml:space="preserve"> </w:t>
      </w:r>
      <w:hyperlink r:id="rId26">
        <w:r>
          <w:rPr>
            <w:rStyle w:val="Hyperlink"/>
          </w:rPr>
          <w:t xml:space="preserve">im lernOS Wiki</w:t>
        </w:r>
      </w:hyperlink>
      <w:r>
        <w:t xml:space="preserve"> </w:t>
      </w:r>
      <w:r>
        <w:t xml:space="preserve">zusammengestellt. Für diesen Leitfaden möchte ich besonders danken:</w:t>
      </w:r>
    </w:p>
    <w:p>
      <w:pPr>
        <w:pStyle w:val="Compact"/>
        <w:numPr>
          <w:numId w:val="1001"/>
          <w:ilvl w:val="0"/>
        </w:numPr>
      </w:pPr>
      <w:r>
        <w:t xml:space="preserve">…</w:t>
      </w:r>
    </w:p>
    <w:p>
      <w:pPr>
        <w:pStyle w:val="Heading1"/>
      </w:pPr>
      <w:bookmarkStart w:id="27" w:name="grundlagen"/>
      <w:r>
        <w:t xml:space="preserve">Grundlagen</w:t>
      </w:r>
      <w:bookmarkEnd w:id="27"/>
    </w:p>
    <w:p>
      <w:pPr>
        <w:pStyle w:val="FirstParagraph"/>
      </w:pP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pStyle w:val="Compact"/>
        <w:numPr>
          <w:numId w:val="1002"/>
          <w:ilvl w:val="0"/>
        </w:numPr>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pStyle w:val="Compact"/>
        <w:numPr>
          <w:numId w:val="1002"/>
          <w:ilvl w:val="0"/>
        </w:numPr>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Heading2"/>
      </w:pPr>
      <w:bookmarkStart w:id="28" w:name="erfolgsfaktoren"/>
      <w:r>
        <w:t xml:space="preserve">Erfolgsfaktoren</w:t>
      </w:r>
      <w:bookmarkEnd w:id="28"/>
    </w:p>
    <w:p>
      <w:pPr>
        <w:pStyle w:val="FirstParagraph"/>
      </w:pPr>
      <w:r>
        <w:t xml:space="preserve">lernOS ist eine praxiserprobte Systematik, keine Wunderwaffe! Damit ein Akteur mit lernOS erfolgreich ist, kommt es in Bezug auf den Umgang mit Wissen und den eigenen Lernprozessen auf die grundsätzliche</w:t>
      </w:r>
      <w:r>
        <w:t xml:space="preserve"> </w:t>
      </w:r>
      <w:r>
        <w:rPr>
          <w:b/>
        </w:rPr>
        <w:t xml:space="preserve">Haltung</w:t>
      </w:r>
      <w:r>
        <w:t xml:space="preserve"> </w:t>
      </w:r>
      <w:r>
        <w:t xml:space="preserve">(Mindset), die vorhandenen</w:t>
      </w:r>
      <w:r>
        <w:t xml:space="preserve"> </w:t>
      </w:r>
      <w:r>
        <w:rPr>
          <w:b/>
        </w:rPr>
        <w:t xml:space="preserve">Fähigkeiten</w:t>
      </w:r>
      <w:r>
        <w:t xml:space="preserve"> </w:t>
      </w:r>
      <w:r>
        <w:t xml:space="preserve">(Skillset) und die eingesetzten</w:t>
      </w:r>
      <w:r>
        <w:t xml:space="preserve"> </w:t>
      </w:r>
      <w:r>
        <w:rPr>
          <w:b/>
        </w:rPr>
        <w:t xml:space="preserve">Methoden und Werkzeuge</w:t>
      </w:r>
      <w:r>
        <w:t xml:space="preserve"> </w:t>
      </w:r>
      <w:r>
        <w:t xml:space="preserve">(Toolset) an. Der Begriff „Werkzeuge" ist dabei sehr weit gefasst, es geht nicht nur um IT-Werkzeuge und Apps, sondern alle Arten von Hilfsmitteln, die den Umgang Wissen und das Lernen unterstützen.</w:t>
      </w:r>
    </w:p>
    <w:p>
      <w:pPr>
        <w:pStyle w:val="BodyText"/>
      </w:pPr>
      <w:r>
        <w:t xml:space="preserve">… Bild …</w:t>
      </w:r>
    </w:p>
    <w:p>
      <w:pPr>
        <w:pStyle w:val="BodyText"/>
      </w:pPr>
      <w:r>
        <w:t xml:space="preserve">Die</w:t>
      </w:r>
      <w:r>
        <w:t xml:space="preserve"> </w:t>
      </w:r>
      <w:r>
        <w:rPr>
          <w:b/>
        </w:rPr>
        <w:t xml:space="preserve">drei Erfolgsfaktoren</w:t>
      </w:r>
      <w:r>
        <w:t xml:space="preserve"> </w:t>
      </w:r>
      <w:r>
        <w:t xml:space="preserve">für einen</w:t>
      </w:r>
      <w:r>
        <w:t xml:space="preserve"> </w:t>
      </w:r>
      <w:r>
        <w:rPr>
          <w:b/>
        </w:rPr>
        <w:t xml:space="preserve">ganzheitlichen Umgang mit Wissen und Lernen</w:t>
      </w:r>
      <w:r>
        <w:t xml:space="preserve"> </w:t>
      </w:r>
      <w:r>
        <w:t xml:space="preserve">sind dabei wie folgt definiert:</w:t>
      </w:r>
    </w:p>
    <w:p>
      <w:pPr>
        <w:pStyle w:val="Compact"/>
        <w:numPr>
          <w:numId w:val="1003"/>
          <w:ilvl w:val="0"/>
        </w:numPr>
      </w:pPr>
      <w:r>
        <w:rPr>
          <w:b/>
        </w:rPr>
        <w:t xml:space="preserve">Mindset:</w:t>
      </w:r>
      <w:r>
        <w:t xml:space="preserve"> </w:t>
      </w:r>
      <w:r>
        <w:t xml:space="preserve">Die Haltung, mit der man an Wissen und Lernen herangeht.</w:t>
      </w:r>
    </w:p>
    <w:p>
      <w:pPr>
        <w:pStyle w:val="Compact"/>
        <w:numPr>
          <w:numId w:val="1003"/>
          <w:ilvl w:val="0"/>
        </w:numPr>
      </w:pPr>
      <w:r>
        <w:rPr>
          <w:b/>
        </w:rPr>
        <w:t xml:space="preserve">Skillset:</w:t>
      </w:r>
      <w:r>
        <w:t xml:space="preserve"> </w:t>
      </w:r>
      <w:r>
        <w:t xml:space="preserve">Die Fähigkeiten, die man im Umgang mit Wissen und Lernen hat.</w:t>
      </w:r>
    </w:p>
    <w:p>
      <w:pPr>
        <w:pStyle w:val="Compact"/>
        <w:numPr>
          <w:numId w:val="1003"/>
          <w:ilvl w:val="0"/>
        </w:numPr>
      </w:pPr>
      <w:r>
        <w:rPr>
          <w:b/>
        </w:rPr>
        <w:t xml:space="preserve">Toolset:</w:t>
      </w:r>
      <w:r>
        <w:t xml:space="preserve"> </w:t>
      </w:r>
      <w:r>
        <w:t xml:space="preserve">die Methoden und Werkzeuge, die man im Umgang mit Wissen und Lernen nutzt.</w:t>
      </w:r>
    </w:p>
    <w:p>
      <w:pPr>
        <w:pStyle w:val="Heading2"/>
      </w:pPr>
      <w:bookmarkStart w:id="29" w:name="wie-funktioniert-lernos"/>
      <w:r>
        <w:t xml:space="preserve">Wie funktioniert lernOS?</w:t>
      </w:r>
      <w:bookmarkEnd w:id="29"/>
    </w:p>
    <w:p>
      <w:pPr>
        <w:pStyle w:val="FirstParagraph"/>
      </w:pPr>
      <w:r>
        <w:t xml:space="preserve">Viele Unternehmen und Organisationen sind heute noch nach dem Vorbild von Militär oder bürokratischen Organisationen strukturiert. Organigramme teilen Abteilungen hierarchisch ab und verwandeln sie somit</w:t>
      </w:r>
      <w:r>
        <w:t xml:space="preserve"> </w:t>
      </w:r>
      <w:r>
        <w:t xml:space="preserve">in Wissenssilos. Prozess- und Projektstrukturen formalisieren übergreifende Zusammenarbeit sind aber oft zu starr und wenig flexibel.</w:t>
      </w:r>
    </w:p>
    <w:p>
      <w:pPr>
        <w:pStyle w:val="BodyText"/>
      </w:pPr>
      <w:r>
        <w:t xml:space="preserve">An dieser Ausgangssituation setzt LernOS an. Anders als beispielsweise bei Holocracy soll nicht eine völlig neue Struktur geschaffen, sondern die bestehende Organisationsstruktur um ein neues Organisationssystem (OS) ergänzt werden.</w:t>
      </w:r>
    </w:p>
    <w:p>
      <w:pPr>
        <w:pStyle w:val="Heading2"/>
      </w:pPr>
      <w:bookmarkStart w:id="30" w:name="lernos-prozess"/>
      <w:r>
        <w:t xml:space="preserve">lernOS Prozess</w:t>
      </w:r>
      <w:bookmarkEnd w:id="30"/>
    </w:p>
    <w:p>
      <w:pPr>
        <w:pStyle w:val="FirstParagraph"/>
      </w:pPr>
      <w:r>
        <w:t xml:space="preserve">Die Anwendung von LernOS erfolgt in fünf einfachen Schritten, die im Folgenden erklärt werden.</w:t>
      </w:r>
    </w:p>
    <w:p>
      <w:pPr>
        <w:pStyle w:val="BodyText"/>
      </w:pPr>
      <w:r>
        <w:t xml:space="preserve">… Bild …</w:t>
      </w:r>
    </w:p>
    <w:p>
      <w:pPr>
        <w:pStyle w:val="Heading3"/>
      </w:pPr>
      <w:bookmarkStart w:id="31" w:name="lernos-scope"/>
      <w:r>
        <w:t xml:space="preserve">lernOS Scope</w:t>
      </w:r>
      <w:bookmarkEnd w:id="31"/>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3"/>
      </w:pPr>
      <w:bookmarkStart w:id="32" w:name="lernos-strategy"/>
      <w:r>
        <w:t xml:space="preserve">lernOS Strategy</w:t>
      </w:r>
      <w:bookmarkEnd w:id="32"/>
    </w:p>
    <w:p>
      <w:pPr>
        <w:pStyle w:val="FirstParagraph"/>
      </w:pPr>
      <w:r>
        <w:t xml:space="preserve">Anschließend wird mit der</w:t>
      </w:r>
      <w:r>
        <w:t xml:space="preserve"> </w:t>
      </w:r>
      <w:r>
        <w:rPr>
          <w:b/>
        </w:rPr>
        <w:t xml:space="preserve">lernOS Strategy</w:t>
      </w:r>
      <w:r>
        <w:t xml:space="preserve"> </w:t>
      </w:r>
      <w:r>
        <w:t xml:space="preserve">eine Strategie für den Anwendungsbereich der Lernenden Organisation entwickelt. Hierzu werden acht Handlungsfelder angeboten, die mit dem Konzept der Lernenden</w:t>
      </w:r>
      <w:r>
        <w:t xml:space="preserve"> </w:t>
      </w:r>
      <w:r>
        <w:t xml:space="preserve">Organisation [1], dem Management-Standard ISO 9001:2015 [2] und den Kriterien für den Most Admired Knowledge Enterprise Award [3] kompatibel sind:</w:t>
      </w:r>
    </w:p>
    <w:p>
      <w:pPr>
        <w:pStyle w:val="Compact"/>
        <w:numPr>
          <w:numId w:val="1004"/>
          <w:ilvl w:val="0"/>
        </w:numPr>
      </w:pPr>
      <w:r>
        <w:t xml:space="preserve">Eine Lernenden Organisation entwickeln</w:t>
      </w:r>
    </w:p>
    <w:p>
      <w:pPr>
        <w:pStyle w:val="Compact"/>
        <w:numPr>
          <w:numId w:val="1004"/>
          <w:ilvl w:val="0"/>
        </w:numPr>
      </w:pPr>
      <w:r>
        <w:t xml:space="preserve">Wissensorientierte Führung und Kultur etablieren</w:t>
      </w:r>
    </w:p>
    <w:p>
      <w:pPr>
        <w:pStyle w:val="Compact"/>
        <w:numPr>
          <w:numId w:val="1004"/>
          <w:ilvl w:val="0"/>
        </w:numPr>
      </w:pPr>
      <w:r>
        <w:t xml:space="preserve">Wissensarbeiter entwickeln</w:t>
      </w:r>
    </w:p>
    <w:p>
      <w:pPr>
        <w:pStyle w:val="Compact"/>
        <w:numPr>
          <w:numId w:val="1004"/>
          <w:ilvl w:val="0"/>
        </w:numPr>
      </w:pPr>
      <w:r>
        <w:t xml:space="preserve">Lernen in Prozessen verankern</w:t>
      </w:r>
    </w:p>
    <w:p>
      <w:pPr>
        <w:pStyle w:val="Compact"/>
        <w:numPr>
          <w:numId w:val="1004"/>
          <w:ilvl w:val="0"/>
        </w:numPr>
      </w:pPr>
      <w:r>
        <w:t xml:space="preserve">Wissensbasierte Produkte entwickeln</w:t>
      </w:r>
    </w:p>
    <w:p>
      <w:pPr>
        <w:pStyle w:val="Compact"/>
        <w:numPr>
          <w:numId w:val="1004"/>
          <w:ilvl w:val="0"/>
        </w:numPr>
      </w:pPr>
      <w:r>
        <w:t xml:space="preserve">Umgebung zur Wissensteilung etablieren</w:t>
      </w:r>
    </w:p>
    <w:p>
      <w:pPr>
        <w:pStyle w:val="Compact"/>
        <w:numPr>
          <w:numId w:val="1004"/>
          <w:ilvl w:val="0"/>
        </w:numPr>
      </w:pPr>
      <w:r>
        <w:t xml:space="preserve">Internes und externes Wissen nutzen</w:t>
      </w:r>
    </w:p>
    <w:p>
      <w:pPr>
        <w:pStyle w:val="Compact"/>
        <w:numPr>
          <w:numId w:val="1004"/>
          <w:ilvl w:val="0"/>
        </w:numPr>
      </w:pPr>
      <w:r>
        <w:t xml:space="preserve">Finanzielles Kapital durch intellektuelles Kapital erzeugen</w:t>
      </w:r>
    </w:p>
    <w:p>
      <w:pPr>
        <w:pStyle w:val="FirstParagraph"/>
      </w:pPr>
      <w:r>
        <w:t xml:space="preserve">Für den Anwendungsbereich können ein, mehrere oder alle Handlungsfelder ausgewählt werden. Für jedes ausgewählte Handlungsfeld wird eine SWOT-Analyse durchgeführt, um Stärken, Schwächen, Chancen und Risiken mit einer repräsentativen Gruppe systematisch zu entwickeln.</w:t>
      </w:r>
    </w:p>
    <w:p>
      <w:pPr>
        <w:pStyle w:val="BodyText"/>
      </w:pPr>
      <w:r>
        <w:t xml:space="preserve">Aus den Kombinationen Stärken-Chancen, Stärken-Gefahren, Schwächen-Chancen und Schwächen-Gefahren werden dann Ideen für ein Portfolio von Maßnahmen entwickelt. Als Impulsgeber für die Maßnahmenentwicklung kann die Tool-Sammlung lernOS Toolbox (siehe Seite 5) mit Methoden und Werkzeugen für die Lernende Organisation herangezogen werden.</w:t>
      </w:r>
    </w:p>
    <w:p>
      <w:pPr>
        <w:pStyle w:val="Heading3"/>
      </w:pPr>
      <w:bookmarkStart w:id="33" w:name="lernos-plan"/>
      <w:r>
        <w:t xml:space="preserve">lernOS Plan</w:t>
      </w:r>
      <w:bookmarkEnd w:id="33"/>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Heading3"/>
      </w:pPr>
      <w:bookmarkStart w:id="34" w:name="lernos-sprints"/>
      <w:r>
        <w:t xml:space="preserve">lernOS Sprints</w:t>
      </w:r>
      <w:bookmarkEnd w:id="34"/>
    </w:p>
    <w:p>
      <w:pPr>
        <w:pStyle w:val="FirstParagraph"/>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Heading3"/>
      </w:pPr>
      <w:bookmarkStart w:id="35" w:name="lernos-reviews"/>
      <w:r>
        <w:t xml:space="preserve">lernOS Reviews</w:t>
      </w:r>
      <w:bookmarkEnd w:id="35"/>
    </w:p>
    <w:p>
      <w:pPr>
        <w:pStyle w:val="FirstParagraph"/>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2"/>
      </w:pPr>
      <w:bookmarkStart w:id="36" w:name="lernos-toolbox"/>
      <w:r>
        <w:t xml:space="preserve">lernOS Toolbox</w:t>
      </w:r>
      <w:bookmarkEnd w:id="36"/>
    </w:p>
    <w:p>
      <w:pPr>
        <w:pStyle w:val="FirstParagraph"/>
      </w:pPr>
      <w:r>
        <w:t xml:space="preserve">Im Folgenden wird die lernOS Toolbox im Detail vorgestellt. Zu jedem Tool gibt es unter lernos.org eine zugehörige Webseite mit weiterführenden Informationen.</w:t>
      </w:r>
    </w:p>
    <w:p>
      <w:pPr>
        <w:pStyle w:val="Compact"/>
        <w:numPr>
          <w:numId w:val="1005"/>
          <w:ilvl w:val="0"/>
        </w:numPr>
      </w:pPr>
      <w:r>
        <w:rPr>
          <w:b/>
        </w:rPr>
        <w:t xml:space="preserve">Barcamp:</w:t>
      </w:r>
      <w:r>
        <w:t xml:space="preserve"> </w:t>
      </w:r>
      <w:r>
        <w:t xml:space="preserve">Ein Barcamp (auch Unkonferenz) ist eine Konferenz, bei der die Inhalte von den Teilehmern innerhalb eines vorgegebenen Rahmens selber gestaltet werden.</w:t>
      </w:r>
    </w:p>
    <w:p>
      <w:pPr>
        <w:pStyle w:val="Compact"/>
        <w:numPr>
          <w:numId w:val="1005"/>
          <w:ilvl w:val="0"/>
        </w:numPr>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pStyle w:val="Compact"/>
        <w:numPr>
          <w:numId w:val="1005"/>
          <w:ilvl w:val="0"/>
        </w:numPr>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pStyle w:val="Compact"/>
        <w:numPr>
          <w:numId w:val="1005"/>
          <w:ilvl w:val="0"/>
        </w:numPr>
      </w:pPr>
      <w:r>
        <w:rPr>
          <w:b/>
        </w:rPr>
        <w:t xml:space="preserve">Design Thinking:</w:t>
      </w:r>
      <w:r>
        <w:t xml:space="preserve"> </w:t>
      </w:r>
      <w:r>
        <w:t xml:space="preserve">Das Design Thinking ist eine Innovationsmethode, bei der Ideen in fünf Phasen iterativ entwickelt und getestet werden.</w:t>
      </w:r>
    </w:p>
    <w:p>
      <w:pPr>
        <w:pStyle w:val="Compact"/>
        <w:numPr>
          <w:numId w:val="1005"/>
          <w:ilvl w:val="0"/>
        </w:numPr>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pStyle w:val="Compact"/>
        <w:numPr>
          <w:numId w:val="1005"/>
          <w:ilvl w:val="0"/>
        </w:numPr>
      </w:pPr>
      <w:r>
        <w:rPr>
          <w:b/>
        </w:rPr>
        <w:t xml:space="preserve">Erklärvideo:</w:t>
      </w:r>
      <w:r>
        <w:t xml:space="preserve"> </w:t>
      </w:r>
      <w:r>
        <w:t xml:space="preserve">Ein Erklärvideo ist ein kurzes Video (typisch sind wenige Minuten), in dem die wichtigsten Aspekte eines komplexen Themas erläutert werden.</w:t>
      </w:r>
    </w:p>
    <w:p>
      <w:pPr>
        <w:pStyle w:val="Compact"/>
        <w:numPr>
          <w:numId w:val="1005"/>
          <w:ilvl w:val="0"/>
        </w:numPr>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pStyle w:val="Compact"/>
        <w:numPr>
          <w:numId w:val="1005"/>
          <w:ilvl w:val="0"/>
        </w:numPr>
      </w:pPr>
      <w:r>
        <w:rPr>
          <w:b/>
        </w:rPr>
        <w:t xml:space="preserve">Fedex Day:</w:t>
      </w:r>
      <w:r>
        <w:t xml:space="preserve"> </w:t>
      </w:r>
      <w:r>
        <w:t xml:space="preserve">Der FedEx Day ist ein Veranstaltungsformat, bei dem die Teilnehmer gemeinsam an einem Tag ein auslieferungsfähiges Produkt erzeugen.</w:t>
      </w:r>
    </w:p>
    <w:p>
      <w:pPr>
        <w:pStyle w:val="Compact"/>
        <w:numPr>
          <w:numId w:val="1005"/>
          <w:ilvl w:val="0"/>
        </w:numPr>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pStyle w:val="Compact"/>
        <w:numPr>
          <w:numId w:val="1005"/>
          <w:ilvl w:val="0"/>
        </w:numPr>
      </w:pPr>
      <w:r>
        <w:rPr>
          <w:b/>
        </w:rPr>
        <w:t xml:space="preserve">Getting Things Done:</w:t>
      </w:r>
      <w:r>
        <w:t xml:space="preserve"> </w:t>
      </w:r>
      <w:r>
        <w:t xml:space="preserve">Getting Things Done (GTD) ist eine Selbstmanagement-Methode für Wissensarbeiter.</w:t>
      </w:r>
    </w:p>
    <w:p>
      <w:pPr>
        <w:pStyle w:val="Compact"/>
        <w:numPr>
          <w:numId w:val="1005"/>
          <w:ilvl w:val="0"/>
        </w:numPr>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pStyle w:val="Compact"/>
        <w:numPr>
          <w:numId w:val="1005"/>
          <w:ilvl w:val="0"/>
        </w:numPr>
      </w:pPr>
      <w:r>
        <w:rPr>
          <w:b/>
        </w:rPr>
        <w:t xml:space="preserve">Lessons Learned:</w:t>
      </w:r>
      <w:r>
        <w:t xml:space="preserve"> </w:t>
      </w:r>
      <w:r>
        <w:t xml:space="preserve">Lessons Learned ist ein Prozess, in dem Erfahrungen aus der Praxis inkl. Schlussfolgerungen kommuniziert oder dokumentiert werden.</w:t>
      </w:r>
    </w:p>
    <w:p>
      <w:pPr>
        <w:pStyle w:val="Compact"/>
        <w:numPr>
          <w:numId w:val="1005"/>
          <w:ilvl w:val="0"/>
        </w:numPr>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pStyle w:val="Compact"/>
        <w:numPr>
          <w:numId w:val="1005"/>
          <w:ilvl w:val="0"/>
        </w:numPr>
      </w:pPr>
      <w:r>
        <w:rPr>
          <w:b/>
        </w:rPr>
        <w:t xml:space="preserve">Podcast:</w:t>
      </w:r>
      <w:r>
        <w:t xml:space="preserve"> </w:t>
      </w:r>
      <w:r>
        <w:t xml:space="preserve">Ein Podcast besteht aus einer Sammlung von Audio-Dateien, die auf einer Webseite zum automatischen Download zur Verfügung gestellt wird.</w:t>
      </w:r>
    </w:p>
    <w:p>
      <w:pPr>
        <w:pStyle w:val="Compact"/>
        <w:numPr>
          <w:numId w:val="1005"/>
          <w:ilvl w:val="0"/>
        </w:numPr>
      </w:pPr>
      <w:r>
        <w:rPr>
          <w:b/>
        </w:rPr>
        <w:t xml:space="preserve">Screencast:</w:t>
      </w:r>
      <w:r>
        <w:t xml:space="preserve"> </w:t>
      </w:r>
      <w:r>
        <w:t xml:space="preserve">Ein Screencast ist ein Video, das die Interaktion auf einem Computerbildschirm wahlweise mit oder ohne Ton darstellt.</w:t>
      </w:r>
    </w:p>
    <w:p>
      <w:pPr>
        <w:pStyle w:val="Compact"/>
        <w:numPr>
          <w:numId w:val="1005"/>
          <w:ilvl w:val="0"/>
        </w:numPr>
      </w:pPr>
      <w:r>
        <w:rPr>
          <w:b/>
        </w:rPr>
        <w:t xml:space="preserve">Scrum:</w:t>
      </w:r>
      <w:r>
        <w:t xml:space="preserve"> </w:t>
      </w:r>
      <w:r>
        <w:t xml:space="preserve">Scrum ist eine Methode des Projektmanagements, um Projekte agil und partizipativ zu führen.</w:t>
      </w:r>
    </w:p>
    <w:p>
      <w:pPr>
        <w:pStyle w:val="Compact"/>
        <w:numPr>
          <w:numId w:val="1005"/>
          <w:ilvl w:val="0"/>
        </w:numPr>
      </w:pPr>
      <w:r>
        <w:rPr>
          <w:b/>
        </w:rPr>
        <w:t xml:space="preserve">Weblog:</w:t>
      </w:r>
      <w:r>
        <w:t xml:space="preserve"> </w:t>
      </w:r>
      <w:r>
        <w:t xml:space="preserve">Ein Weblog (auch Blog) ist eine persönliche Webseite im Tagebuch-Format, d.h. die einzelnen Weblog-Einträge werden chronologisch rückwärts angezeigt.</w:t>
      </w:r>
    </w:p>
    <w:p>
      <w:pPr>
        <w:pStyle w:val="Compact"/>
        <w:numPr>
          <w:numId w:val="1005"/>
          <w:ilvl w:val="0"/>
        </w:numPr>
      </w:pPr>
      <w:r>
        <w:rPr>
          <w:b/>
        </w:rPr>
        <w:t xml:space="preserve">Wiki:</w:t>
      </w:r>
      <w:r>
        <w:t xml:space="preserve"> </w:t>
      </w:r>
      <w:r>
        <w:t xml:space="preserve">Ein Wiki (Hawaiisch für „schnell") ist eine Sammlung von Webseiten, die von den Nutzern gelesen und bearbeitet werden können.</w:t>
      </w:r>
    </w:p>
    <w:p>
      <w:pPr>
        <w:pStyle w:val="Compact"/>
        <w:numPr>
          <w:numId w:val="1005"/>
          <w:ilvl w:val="0"/>
        </w:numPr>
      </w:pPr>
      <w:r>
        <w:rPr>
          <w:b/>
        </w:rPr>
        <w:t xml:space="preserve">Wissenslandkarte:</w:t>
      </w:r>
      <w:r>
        <w:t xml:space="preserve"> </w:t>
      </w:r>
      <w:r>
        <w:t xml:space="preserve">Eine Wissenslandkarte ist eine graphische Darstellung von Wissensgebieten und deren Zusammenhängen.</w:t>
      </w:r>
    </w:p>
    <w:p>
      <w:pPr>
        <w:pStyle w:val="Compact"/>
        <w:numPr>
          <w:numId w:val="1005"/>
          <w:ilvl w:val="0"/>
        </w:numPr>
      </w:pPr>
      <w:r>
        <w:rPr>
          <w:b/>
        </w:rPr>
        <w:t xml:space="preserve">Working Out Loud:</w:t>
      </w:r>
      <w:r>
        <w:t xml:space="preserve"> </w:t>
      </w:r>
      <w:r>
        <w:t xml:space="preserve">Working Out Loud (WOL) ist eine Methode zum strategischen Netzwerken und offenen Teilen von Inhalten.</w:t>
      </w:r>
    </w:p>
    <w:p>
      <w:pPr>
        <w:pStyle w:val="Heading2"/>
      </w:pPr>
      <w:bookmarkStart w:id="37" w:name="quellen"/>
      <w:r>
        <w:t xml:space="preserve">Quellen</w:t>
      </w:r>
      <w:bookmarkEnd w:id="37"/>
    </w:p>
    <w:p>
      <w:pPr>
        <w:pStyle w:val="FirstParagraph"/>
      </w:pPr>
      <w:r>
        <w:t xml:space="preserve">[1] D. A. Garvin, A. C. Edmondson, und F. Gino, „Is Yours a Learning Organization?</w:t>
      </w:r>
      <w:r>
        <w:t xml:space="preserve">“</w:t>
      </w:r>
      <w:r>
        <w:t xml:space="preserve">,</w:t>
      </w:r>
      <w:r>
        <w:t xml:space="preserve"> </w:t>
      </w:r>
      <w:r>
        <w:rPr>
          <w:i/>
        </w:rPr>
        <w:t xml:space="preserve">Harvard Business Review</w:t>
      </w:r>
      <w:r>
        <w:t xml:space="preserve">, März 2008.[2] DIN Deutsches Institut für Normung e.V., Hrsg., „Qualitätsmanagementsysteme -</w:t>
      </w:r>
      <w:r>
        <w:t xml:space="preserve"> </w:t>
      </w:r>
      <w:r>
        <w:t xml:space="preserve">Anforderungen (ISO 9001:2015); Deutsche und Englische Fassung</w:t>
      </w:r>
      <w:r>
        <w:t xml:space="preserve">”</w:t>
      </w:r>
      <w:r>
        <w:t xml:space="preserve">. Nov-2015.[3] R. L. Chase, „How to Become a MAKE Winner". 2016.</w:t>
      </w:r>
    </w:p>
    <w:p>
      <w:pPr>
        <w:pStyle w:val="Heading1"/>
      </w:pPr>
      <w:bookmarkStart w:id="38" w:name="stop-talking-start-doing"/>
      <w:r>
        <w:t xml:space="preserve">Stop talking, start doing!</w:t>
      </w:r>
      <w:bookmarkEnd w:id="38"/>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Weekly in den Kalender ein. Dieser regelmäßige Termin ist besonders wichtig, wenn Du lernOS in einem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Weekly in der Woche 12, um die Ergebnisse und die Zusammenarbeit im Kreis zu reflektieren. Entscheidet, ob Ihr einen weiteren Sprint gemeinsam durchlaufen wollt.</w:t>
      </w:r>
    </w:p>
    <w:p>
      <w:pPr>
        <w:pStyle w:val="FirstParagraph"/>
      </w:pPr>
      <w:r>
        <w:t xml:space="preserve">Keep Calm &amp; Learn On! :-)</w:t>
      </w:r>
    </w:p>
    <w:p>
      <w:pPr>
        <w:pStyle w:val="Heading1"/>
      </w:pPr>
      <w:bookmarkStart w:id="39" w:name="änderungshistorie"/>
      <w:r>
        <w:t xml:space="preserve">Änderungshistorie</w:t>
      </w:r>
      <w:bookmarkEnd w:id="39"/>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_rels/footnotes.xml.rels><?xml version="1.0" encoding="UTF-8"?>
<Relationships xmlns="http://schemas.openxmlformats.org/package/2006/relationships"><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2019-07-19T14:33:10Z</dcterms:created>
  <dcterms:modified xsi:type="dcterms:W3CDTF">2019-07-19T14:33:10Z</dcterms:modified>
</cp:coreProperties>
</file>

<file path=docProps/custom.xml><?xml version="1.0" encoding="utf-8"?>
<Properties xmlns="http://schemas.openxmlformats.org/officeDocument/2006/custom-properties" xmlns:vt="http://schemas.openxmlformats.org/officeDocument/2006/docPropsVTypes"/>
</file>